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773D5" w:rsidRPr="00F77017" w14:paraId="099F710D" w14:textId="77777777" w:rsidTr="00572750">
        <w:tc>
          <w:tcPr>
            <w:tcW w:w="3070" w:type="dxa"/>
          </w:tcPr>
          <w:p w14:paraId="54173940" w14:textId="77777777" w:rsidR="00C773D5" w:rsidRPr="00C773D5" w:rsidRDefault="00C773D5" w:rsidP="00C773D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hideMark/>
          </w:tcPr>
          <w:p w14:paraId="19FC3467" w14:textId="77777777" w:rsidR="00C773D5" w:rsidRPr="00F77017" w:rsidRDefault="00C773D5" w:rsidP="00C773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77017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6560" w:dyaOrig="15855" w14:anchorId="3FF77D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8" o:title=""/>
                </v:shape>
                <o:OLEObject Type="Embed" ProgID="PBrush" ShapeID="_x0000_i1025" DrawAspect="Content" ObjectID="_1711266121" r:id="rId9"/>
              </w:object>
            </w:r>
          </w:p>
        </w:tc>
        <w:tc>
          <w:tcPr>
            <w:tcW w:w="3070" w:type="dxa"/>
          </w:tcPr>
          <w:p w14:paraId="7B731953" w14:textId="77777777" w:rsidR="00C773D5" w:rsidRPr="00F77017" w:rsidRDefault="00C773D5" w:rsidP="00C773D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C0C8C7" w14:textId="77777777" w:rsidR="00C773D5" w:rsidRPr="00F77017" w:rsidRDefault="00C773D5" w:rsidP="00C77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357F4" w14:textId="77777777" w:rsidR="00C773D5" w:rsidRPr="00F77017" w:rsidRDefault="00C773D5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 РЕСПУБЛИКАНЫН</w:t>
      </w:r>
    </w:p>
    <w:p w14:paraId="56B2076D" w14:textId="77777777" w:rsidR="00C773D5" w:rsidRPr="00F77017" w:rsidRDefault="00C773D5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 КОЖУУН ЧАГЫРГАЗЫНЫН</w:t>
      </w:r>
    </w:p>
    <w:p w14:paraId="06D3CDFF" w14:textId="77777777" w:rsidR="00C773D5" w:rsidRPr="00F77017" w:rsidRDefault="00C773D5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ДОКТААЛЫ</w:t>
      </w:r>
    </w:p>
    <w:p w14:paraId="06926A9C" w14:textId="77777777" w:rsidR="00C773D5" w:rsidRPr="00F77017" w:rsidRDefault="00C773D5" w:rsidP="00C77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09446" w14:textId="77777777" w:rsidR="00C773D5" w:rsidRPr="00F77017" w:rsidRDefault="00C773D5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291524B6" w14:textId="77777777" w:rsidR="00C773D5" w:rsidRPr="00F77017" w:rsidRDefault="00C773D5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КАА-ХЕМСКОГО </w:t>
      </w:r>
      <w:r w:rsidR="007A16B4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2B2E2772" w14:textId="77777777" w:rsidR="00C773D5" w:rsidRPr="00F77017" w:rsidRDefault="00C773D5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14:paraId="24AC0546" w14:textId="77777777" w:rsidR="00C773D5" w:rsidRPr="00F77017" w:rsidRDefault="00C773D5" w:rsidP="00C7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3257E" w14:textId="53C018BE" w:rsidR="00C773D5" w:rsidRPr="00F77017" w:rsidRDefault="0059347F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3D54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C1D30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C1D30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553AC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83D54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</w:p>
    <w:p w14:paraId="6ED25585" w14:textId="77777777" w:rsidR="00C773D5" w:rsidRPr="00F77017" w:rsidRDefault="00C773D5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Сарыг-Сеп </w:t>
      </w:r>
    </w:p>
    <w:p w14:paraId="1627CE2C" w14:textId="77777777" w:rsidR="00C773D5" w:rsidRPr="00F77017" w:rsidRDefault="00C773D5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D3565" w14:textId="77777777" w:rsidR="007A16B4" w:rsidRPr="00F77017" w:rsidRDefault="007A16B4" w:rsidP="008F6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</w:t>
      </w:r>
    </w:p>
    <w:p w14:paraId="4B961B23" w14:textId="77777777" w:rsidR="00844768" w:rsidRPr="00F77017" w:rsidRDefault="00C773D5" w:rsidP="00844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</w:t>
      </w:r>
    </w:p>
    <w:p w14:paraId="589BF770" w14:textId="68E00331" w:rsidR="00C773D5" w:rsidRPr="00F77017" w:rsidRDefault="00844768" w:rsidP="00844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Каа-Хемском районе </w:t>
      </w:r>
      <w:r w:rsidR="008F60F1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1D30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2022-2024 </w:t>
      </w:r>
      <w:r w:rsidR="008F60F1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14:paraId="727068D7" w14:textId="77777777" w:rsidR="00C773D5" w:rsidRPr="00F77017" w:rsidRDefault="00C773D5" w:rsidP="00C77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2E22F" w14:textId="48E61027" w:rsidR="00844768" w:rsidRPr="00F77017" w:rsidRDefault="00C773D5" w:rsidP="004A0D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усовершенствования муниципальной программы Каа-Хемского района «Развитие здравоохранения на территории Каа-Хемского кожууна» на 20</w:t>
      </w:r>
      <w:r w:rsidR="004949A4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49A4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4A0D47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Каа-Хемского района ПОСТАНАВЛЯЕТ:</w:t>
      </w:r>
    </w:p>
    <w:p w14:paraId="0AC89416" w14:textId="77777777" w:rsidR="004A0D47" w:rsidRPr="00F77017" w:rsidRDefault="004A0D47" w:rsidP="004A0D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здравоохранения в Каа-Хемском кожууне на </w:t>
      </w:r>
      <w:r w:rsidR="00AC1D30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2022-2024</w:t>
      </w:r>
      <w:r w:rsidR="001D268C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годы».</w:t>
      </w:r>
    </w:p>
    <w:p w14:paraId="37BBB5BA" w14:textId="2CE294BA" w:rsidR="00844768" w:rsidRPr="00F77017" w:rsidRDefault="004A0D47" w:rsidP="004A0D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управлению </w:t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1871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Каа-Хемского района включить данную программу в Перечень муниципальных программ, подлежащих финансированию из местного бюджета на </w:t>
      </w:r>
      <w:r w:rsidR="00AC1D30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2022-2024</w:t>
      </w:r>
      <w:r w:rsidR="001D268C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14:paraId="1D21CF0C" w14:textId="2D72A50E" w:rsidR="004A0D47" w:rsidRPr="00F77017" w:rsidRDefault="004A0D47" w:rsidP="004A0D47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77017">
        <w:rPr>
          <w:rFonts w:ascii="Times New Roman" w:hAnsi="Times New Roman" w:cs="Times New Roman"/>
          <w:sz w:val="28"/>
          <w:szCs w:val="28"/>
        </w:rPr>
        <w:t>3. Мероприятия и финансирования муниципальной комплексной программы по преодолению бедности в Каа-Хемском районе на 2020-2024 годы изложить согласно Приложению настоящего постановления.</w:t>
      </w:r>
    </w:p>
    <w:p w14:paraId="6471760F" w14:textId="667B6CA5" w:rsidR="00844768" w:rsidRPr="00F77017" w:rsidRDefault="004A0D47" w:rsidP="004A0D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61871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 w:rsidR="00323C4C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утверждения настоящего постановления</w:t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Каа-Хемского района № </w:t>
      </w:r>
      <w:r w:rsidR="001D268C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578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</w:t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здравоохранения в Каа-Хемском районе на 2019-2021 годы»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</w:t>
      </w:r>
      <w:r w:rsidR="001D268C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</w:p>
    <w:p w14:paraId="6FCB091E" w14:textId="00A14529" w:rsidR="00844768" w:rsidRPr="00F77017" w:rsidRDefault="004A0D47" w:rsidP="004A0D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председателя </w:t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Каа-Хемского района по социальной политике </w:t>
      </w:r>
      <w:r w:rsidR="001D268C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Уванзай А. А. </w:t>
      </w:r>
    </w:p>
    <w:p w14:paraId="5B29C4C6" w14:textId="77777777" w:rsidR="00844768" w:rsidRPr="00F77017" w:rsidRDefault="00844768" w:rsidP="008447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6704D" w14:textId="77777777" w:rsidR="00844768" w:rsidRPr="00F77017" w:rsidRDefault="00844768" w:rsidP="008447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F3215" w14:textId="01A14AA3" w:rsidR="00844768" w:rsidRPr="00F77017" w:rsidRDefault="001D268C" w:rsidP="008447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1871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61871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768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3ADDA6E3" w14:textId="15F4E959" w:rsidR="00C773D5" w:rsidRPr="00F77017" w:rsidRDefault="00844768" w:rsidP="008447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Каа-Хемского района                                               </w:t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D268C" w:rsidRPr="00F7701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Б. Ооржак</w:t>
      </w:r>
    </w:p>
    <w:p w14:paraId="64581A78" w14:textId="77777777" w:rsidR="00D461BE" w:rsidRPr="00F77017" w:rsidRDefault="00D461BE" w:rsidP="00D461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sectPr w:rsidR="00D461BE" w:rsidRPr="00F77017" w:rsidSect="00C4175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2FC5CCA" w14:textId="77777777" w:rsidR="00555A22" w:rsidRPr="00F77017" w:rsidRDefault="00D461BE" w:rsidP="00D461B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55A22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7A16B4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5A22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07A23" w14:textId="77777777" w:rsidR="00555A22" w:rsidRPr="00F77017" w:rsidRDefault="00555A22" w:rsidP="00D461B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420647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461BE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14:paraId="49DA78DD" w14:textId="5088D151" w:rsidR="00555A22" w:rsidRPr="00F77017" w:rsidRDefault="008E377E" w:rsidP="00D461B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6D96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55A22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</w:t>
      </w:r>
    </w:p>
    <w:p w14:paraId="5D5BA28E" w14:textId="1EA23CB8" w:rsidR="00555A22" w:rsidRPr="00F77017" w:rsidRDefault="00C773D5" w:rsidP="00D461B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E3CF7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 августа 2021</w:t>
      </w:r>
      <w:r w:rsidR="00D250FC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E377E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50FC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780D7C" w14:textId="77777777" w:rsidR="00555A22" w:rsidRPr="00F77017" w:rsidRDefault="00555A22" w:rsidP="00555A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A171A" w14:textId="77777777" w:rsidR="00555A22" w:rsidRPr="00F77017" w:rsidRDefault="00D461BE" w:rsidP="00D461B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14:paraId="27451E1C" w14:textId="1DD32ED5" w:rsidR="00555A22" w:rsidRPr="00F77017" w:rsidRDefault="00555A22" w:rsidP="00D461B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1871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здравоохранения</w:t>
      </w:r>
      <w:r w:rsidR="008553AC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Каа-Хемском районе</w:t>
      </w:r>
      <w:r w:rsidR="00D461BE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C1D30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</w:t>
      </w:r>
      <w:r w:rsidR="00EE3CF7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</w:p>
    <w:p w14:paraId="21A0CD99" w14:textId="77777777" w:rsidR="00555A22" w:rsidRPr="00F77017" w:rsidRDefault="00555A22" w:rsidP="00555A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4701" w:type="dxa"/>
        <w:jc w:val="center"/>
        <w:tblLook w:val="04A0" w:firstRow="1" w:lastRow="0" w:firstColumn="1" w:lastColumn="0" w:noHBand="0" w:noVBand="1"/>
      </w:tblPr>
      <w:tblGrid>
        <w:gridCol w:w="3839"/>
        <w:gridCol w:w="10862"/>
      </w:tblGrid>
      <w:tr w:rsidR="00D461BE" w:rsidRPr="00F77017" w14:paraId="4AA03AD1" w14:textId="77777777" w:rsidTr="00D461BE">
        <w:trPr>
          <w:jc w:val="center"/>
        </w:trPr>
        <w:tc>
          <w:tcPr>
            <w:tcW w:w="3839" w:type="dxa"/>
            <w:hideMark/>
          </w:tcPr>
          <w:p w14:paraId="30FC2D9E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862" w:type="dxa"/>
            <w:hideMark/>
          </w:tcPr>
          <w:p w14:paraId="556EC15E" w14:textId="49B8576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1871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  <w:r w:rsidR="00D250FC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Каа-Хемском районе на </w:t>
            </w:r>
            <w:r w:rsidR="00AC1D30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="00EE3CF7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0FC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  <w:p w14:paraId="14FD0B1E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1BE" w:rsidRPr="00F77017" w14:paraId="4390AC19" w14:textId="77777777" w:rsidTr="00D461BE">
        <w:trPr>
          <w:jc w:val="center"/>
        </w:trPr>
        <w:tc>
          <w:tcPr>
            <w:tcW w:w="3839" w:type="dxa"/>
          </w:tcPr>
          <w:p w14:paraId="7FFD3140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10862" w:type="dxa"/>
          </w:tcPr>
          <w:p w14:paraId="2F574F79" w14:textId="0E6D47BA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социальной политике </w:t>
            </w:r>
            <w:r w:rsidR="001D268C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Уванзай А. А. </w:t>
            </w:r>
          </w:p>
        </w:tc>
      </w:tr>
      <w:tr w:rsidR="00D461BE" w:rsidRPr="00F77017" w14:paraId="70A8CDF5" w14:textId="77777777" w:rsidTr="00D461BE">
        <w:trPr>
          <w:jc w:val="center"/>
        </w:trPr>
        <w:tc>
          <w:tcPr>
            <w:tcW w:w="3839" w:type="dxa"/>
            <w:hideMark/>
          </w:tcPr>
          <w:p w14:paraId="20271E70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  <w:p w14:paraId="17C782FC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2" w:type="dxa"/>
            <w:hideMark/>
          </w:tcPr>
          <w:p w14:paraId="7233C469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Каа-Хемского кожууна </w:t>
            </w:r>
          </w:p>
          <w:p w14:paraId="5BF8BE49" w14:textId="4702F73D" w:rsidR="00D005D5" w:rsidRPr="00F77017" w:rsidRDefault="00D005D5" w:rsidP="00D005D5">
            <w:pPr>
              <w:tabs>
                <w:tab w:val="left" w:pos="4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461BE" w:rsidRPr="00F77017" w14:paraId="0E90E6A7" w14:textId="77777777" w:rsidTr="00D461BE">
        <w:trPr>
          <w:jc w:val="center"/>
        </w:trPr>
        <w:tc>
          <w:tcPr>
            <w:tcW w:w="3839" w:type="dxa"/>
          </w:tcPr>
          <w:p w14:paraId="16F22F3C" w14:textId="77777777" w:rsidR="00D461BE" w:rsidRPr="00F77017" w:rsidRDefault="00CB370F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</w:t>
            </w:r>
            <w:r w:rsidR="00D461BE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0862" w:type="dxa"/>
          </w:tcPr>
          <w:p w14:paraId="640AD4C1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РТ «Каа-Хемская ЦКБ»</w:t>
            </w:r>
            <w:r w:rsidR="00071152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Финансовое управление Ад</w:t>
            </w:r>
            <w:r w:rsidR="003C148D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Каа-Хемского района,</w:t>
            </w:r>
            <w:r w:rsidR="007A16B4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семьи, молодежи и спорта</w:t>
            </w:r>
          </w:p>
        </w:tc>
      </w:tr>
      <w:tr w:rsidR="00071152" w:rsidRPr="00F77017" w14:paraId="100FCB07" w14:textId="77777777" w:rsidTr="00D461BE">
        <w:trPr>
          <w:jc w:val="center"/>
        </w:trPr>
        <w:tc>
          <w:tcPr>
            <w:tcW w:w="3839" w:type="dxa"/>
          </w:tcPr>
          <w:p w14:paraId="67ED55C7" w14:textId="77777777" w:rsidR="00071152" w:rsidRPr="00F77017" w:rsidRDefault="00071152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0862" w:type="dxa"/>
          </w:tcPr>
          <w:p w14:paraId="1700AD94" w14:textId="77777777" w:rsidR="00071152" w:rsidRPr="00F77017" w:rsidRDefault="00D250FC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071152" w:rsidRPr="00F77017" w14:paraId="610CBAE6" w14:textId="77777777" w:rsidTr="00D461BE">
        <w:trPr>
          <w:jc w:val="center"/>
        </w:trPr>
        <w:tc>
          <w:tcPr>
            <w:tcW w:w="3839" w:type="dxa"/>
          </w:tcPr>
          <w:p w14:paraId="48EC913A" w14:textId="77777777" w:rsidR="00071152" w:rsidRPr="00F77017" w:rsidRDefault="00CB370F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0862" w:type="dxa"/>
          </w:tcPr>
          <w:p w14:paraId="368C3510" w14:textId="77777777" w:rsidR="00071152" w:rsidRPr="00F77017" w:rsidRDefault="00071152" w:rsidP="0007115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641F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оказания населению квалифицированной медицинской помощи;</w:t>
            </w:r>
          </w:p>
          <w:p w14:paraId="3BDC7C3B" w14:textId="77777777" w:rsidR="0093641F" w:rsidRPr="00F77017" w:rsidRDefault="0093641F" w:rsidP="0007115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развития эпидемий;</w:t>
            </w:r>
          </w:p>
          <w:p w14:paraId="1496BFF9" w14:textId="77777777" w:rsidR="0093641F" w:rsidRPr="00F77017" w:rsidRDefault="0093641F" w:rsidP="0007115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населения мотивации к здоровому образу жизни;</w:t>
            </w:r>
          </w:p>
          <w:p w14:paraId="764F7371" w14:textId="77777777" w:rsidR="0093641F" w:rsidRPr="00F77017" w:rsidRDefault="0093641F" w:rsidP="0093641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приближение медицинской помощи к жителям </w:t>
            </w:r>
            <w:r w:rsidR="007A16B4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местности.</w:t>
            </w:r>
          </w:p>
        </w:tc>
      </w:tr>
      <w:tr w:rsidR="004145D2" w:rsidRPr="00F77017" w14:paraId="0D577114" w14:textId="77777777" w:rsidTr="00D461BE">
        <w:trPr>
          <w:jc w:val="center"/>
        </w:trPr>
        <w:tc>
          <w:tcPr>
            <w:tcW w:w="3839" w:type="dxa"/>
          </w:tcPr>
          <w:p w14:paraId="406AE558" w14:textId="77777777" w:rsidR="004145D2" w:rsidRPr="00F77017" w:rsidRDefault="004145D2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10862" w:type="dxa"/>
          </w:tcPr>
          <w:p w14:paraId="5FED2800" w14:textId="4EE8E69A" w:rsidR="004145D2" w:rsidRPr="00F77017" w:rsidRDefault="004145D2" w:rsidP="0007115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буд</w:t>
            </w:r>
            <w:r w:rsidR="003C148D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ос</w:t>
            </w:r>
            <w:r w:rsidR="0062502B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уществляться в течение </w:t>
            </w:r>
            <w:r w:rsidR="00AC1D30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="00EE3CF7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02B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в три этапа</w:t>
            </w: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8246955" w14:textId="4C0D052C" w:rsidR="004145D2" w:rsidRPr="00F77017" w:rsidRDefault="004145D2" w:rsidP="0007115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этап: </w:t>
            </w:r>
            <w:r w:rsidR="003C148D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3CF7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  <w:p w14:paraId="17E9B9D9" w14:textId="622027FF" w:rsidR="004145D2" w:rsidRPr="00F77017" w:rsidRDefault="003C148D" w:rsidP="0007115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этап: 202</w:t>
            </w:r>
            <w:r w:rsidR="00EE3CF7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45D2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  <w:p w14:paraId="7C8B76BF" w14:textId="7266055E" w:rsidR="004145D2" w:rsidRPr="00F77017" w:rsidRDefault="003C148D" w:rsidP="0007115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этап: 202</w:t>
            </w:r>
            <w:r w:rsidR="00EE3CF7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6B4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D461BE" w:rsidRPr="00F77017" w14:paraId="7A41018E" w14:textId="77777777" w:rsidTr="00D461BE">
        <w:trPr>
          <w:jc w:val="center"/>
        </w:trPr>
        <w:tc>
          <w:tcPr>
            <w:tcW w:w="3839" w:type="dxa"/>
            <w:hideMark/>
          </w:tcPr>
          <w:p w14:paraId="6E99D11F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14:paraId="1DF88FB2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2" w:type="dxa"/>
            <w:hideMark/>
          </w:tcPr>
          <w:p w14:paraId="0DDC91FF" w14:textId="77777777" w:rsidR="00796D0D" w:rsidRPr="00F77017" w:rsidRDefault="00796D0D" w:rsidP="00796D0D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2022-2024 годы составит 1 275 000 рублей, из них:</w:t>
            </w:r>
          </w:p>
          <w:p w14:paraId="61D9AA11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Социально-значимые болезни – чесотка, педикулез:</w:t>
            </w:r>
          </w:p>
          <w:p w14:paraId="765E447C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15 000 рублей (местный бюджет)</w:t>
            </w:r>
          </w:p>
          <w:p w14:paraId="197641FC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– 20 000 рублей (местный бюджет)</w:t>
            </w:r>
          </w:p>
          <w:p w14:paraId="68CE1A9D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30 000 рублей (местный бюджет)</w:t>
            </w:r>
          </w:p>
          <w:p w14:paraId="45DFF079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Социально-значимые болезни – туберкулез:</w:t>
            </w:r>
          </w:p>
          <w:p w14:paraId="3B1919F7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300 000 рублей (местный бюджет)</w:t>
            </w:r>
          </w:p>
          <w:p w14:paraId="4D05E18F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350 000 рублей (местный бюджет)</w:t>
            </w:r>
          </w:p>
          <w:p w14:paraId="75AB1A11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400 000 тыс. рублей (местный бюджет)</w:t>
            </w:r>
          </w:p>
          <w:p w14:paraId="4013E654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ВИЧ/СПИД:</w:t>
            </w:r>
          </w:p>
          <w:p w14:paraId="5677EA93" w14:textId="4E56197F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08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рублей (местный бюджет)</w:t>
            </w:r>
          </w:p>
          <w:p w14:paraId="516EDCDF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10 000 рублей (местный бюджет)</w:t>
            </w:r>
          </w:p>
          <w:p w14:paraId="251C3E31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10 000 рублей (местный бюджет)</w:t>
            </w:r>
          </w:p>
          <w:p w14:paraId="478A95D9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Наркомания и алкоголизм:</w:t>
            </w:r>
          </w:p>
          <w:p w14:paraId="2AA37A94" w14:textId="3D4C907B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08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(местный бюджет)</w:t>
            </w:r>
          </w:p>
          <w:p w14:paraId="5CA243F3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30 000 рублей (местный бюджет)</w:t>
            </w:r>
          </w:p>
          <w:p w14:paraId="5815A65B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40 000 рублей (местный бюджет)</w:t>
            </w:r>
          </w:p>
          <w:p w14:paraId="519BCC2C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Сердечно-сосудистые заболевания:</w:t>
            </w:r>
          </w:p>
          <w:p w14:paraId="60F48907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10 000 рублей (местный бюджет)</w:t>
            </w:r>
          </w:p>
          <w:p w14:paraId="2039B19A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20 000 рублей (местный бюджет)</w:t>
            </w:r>
          </w:p>
          <w:p w14:paraId="605F358A" w14:textId="77777777" w:rsidR="00796D0D" w:rsidRPr="00F77017" w:rsidRDefault="00796D0D" w:rsidP="00796D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30 000 рублей (местный бюджет)</w:t>
            </w:r>
          </w:p>
          <w:p w14:paraId="08713669" w14:textId="22901E06" w:rsidR="003A5513" w:rsidRPr="00F77017" w:rsidRDefault="003A5513" w:rsidP="00C919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1BE" w:rsidRPr="00F77017" w14:paraId="4E84DECF" w14:textId="77777777" w:rsidTr="00D461BE">
        <w:trPr>
          <w:jc w:val="center"/>
        </w:trPr>
        <w:tc>
          <w:tcPr>
            <w:tcW w:w="3839" w:type="dxa"/>
            <w:hideMark/>
          </w:tcPr>
          <w:p w14:paraId="2AE59342" w14:textId="77777777" w:rsidR="00D461BE" w:rsidRPr="00F77017" w:rsidRDefault="00D461BE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862" w:type="dxa"/>
            <w:hideMark/>
          </w:tcPr>
          <w:p w14:paraId="444F0964" w14:textId="77777777" w:rsidR="00D461BE" w:rsidRPr="00F77017" w:rsidRDefault="0093641F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61BE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смертности </w:t>
            </w: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в том числе </w:t>
            </w:r>
            <w:r w:rsidR="00D461BE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 болезней</w:t>
            </w:r>
            <w:r w:rsidR="003F29B3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от туберкулеза, ВИЧ/СПИД, алкоголизма и наркомании;</w:t>
            </w:r>
          </w:p>
          <w:p w14:paraId="272826EF" w14:textId="77777777" w:rsidR="00B168A0" w:rsidRPr="00F77017" w:rsidRDefault="00B168A0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смертности от сердечно-сосудистых заболеваний;</w:t>
            </w:r>
          </w:p>
          <w:p w14:paraId="4A6A5DFD" w14:textId="77777777" w:rsidR="0093641F" w:rsidRPr="00F77017" w:rsidRDefault="0093641F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стабилизация эпидемиологической заболеваемости по социально-значимым заболеваниям;</w:t>
            </w:r>
          </w:p>
          <w:p w14:paraId="6DA49178" w14:textId="77777777" w:rsidR="0093641F" w:rsidRPr="00F77017" w:rsidRDefault="0093641F" w:rsidP="00555A2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инфекционной заболеваемости;</w:t>
            </w:r>
          </w:p>
          <w:p w14:paraId="5D6D8B46" w14:textId="77777777" w:rsidR="0093641F" w:rsidRPr="00F77017" w:rsidRDefault="0093641F" w:rsidP="00D378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61BE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ожидаемой продолжительно</w:t>
            </w:r>
            <w:r w:rsidR="003F29B3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жизни в рамках проекта «Пути к долголетию».</w:t>
            </w:r>
          </w:p>
        </w:tc>
      </w:tr>
    </w:tbl>
    <w:p w14:paraId="5A6497FE" w14:textId="77777777" w:rsidR="00555A22" w:rsidRPr="00F77017" w:rsidRDefault="00555A22" w:rsidP="00555A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7E195" w14:textId="77777777" w:rsidR="00D37850" w:rsidRPr="00F77017" w:rsidRDefault="00D37850" w:rsidP="00555A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7850" w:rsidRPr="00F77017" w:rsidSect="00D461B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5060A0F" w14:textId="77777777" w:rsidR="003F29B3" w:rsidRPr="00F77017" w:rsidRDefault="00D37850" w:rsidP="000D0A94">
      <w:pPr>
        <w:keepNext/>
        <w:keepLines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0"/>
      <w:r w:rsidRPr="00F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Характеристика проблемы и ее решения программно-целевыми методами</w:t>
      </w:r>
      <w:bookmarkEnd w:id="1"/>
    </w:p>
    <w:p w14:paraId="03BCE819" w14:textId="77777777" w:rsidR="003F29B3" w:rsidRPr="00F77017" w:rsidRDefault="003F29B3" w:rsidP="000D0A94">
      <w:pPr>
        <w:keepNext/>
        <w:keepLines/>
        <w:widowControl w:val="0"/>
        <w:tabs>
          <w:tab w:val="left" w:pos="7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D0A8B99" w14:textId="689A3363" w:rsidR="008E377E" w:rsidRPr="00F77017" w:rsidRDefault="00D37850" w:rsidP="000D0A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 Программа «</w:t>
      </w:r>
      <w:r w:rsidR="00D61871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здравоохранения </w:t>
      </w:r>
      <w:r w:rsidR="004077E8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Каа-Хемском районе на </w:t>
      </w:r>
      <w:r w:rsidR="00AC1D30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2022-2024</w:t>
      </w:r>
      <w:r w:rsidR="004077E8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годы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(далее - Программа) разработана в соответствии с Конституцией Российской Федерации, Федеральными закономи от 21.11.2011 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323-ФЗ, «Об основах охраны здоровья граждан в Российской Федерации», от 31 декабря 1996 года 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696 «О противотуберкулезной помощи и защите населения от туберкулеза»; Постановлением Правительства Республики Тыва от 30.04.2013 г. № 250 «Об утверждении республиканской программы «Развитие здравоохранения Республике Тыва на 2013-2020 годы», Уставом Каа- Хемского района и с участием заинтересованных структурных подразделений администрации района.</w:t>
      </w:r>
    </w:p>
    <w:p w14:paraId="61FD7676" w14:textId="77777777" w:rsidR="00D37850" w:rsidRPr="00F77017" w:rsidRDefault="00D37850" w:rsidP="000D0A94">
      <w:pPr>
        <w:keepNext/>
        <w:keepLines/>
        <w:widowControl w:val="0"/>
        <w:numPr>
          <w:ilvl w:val="0"/>
          <w:numId w:val="3"/>
        </w:numPr>
        <w:tabs>
          <w:tab w:val="left" w:pos="31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F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цели и задачи Программы</w:t>
      </w:r>
      <w:bookmarkEnd w:id="2"/>
    </w:p>
    <w:p w14:paraId="53B67731" w14:textId="77777777" w:rsidR="00D37850" w:rsidRPr="00F77017" w:rsidRDefault="00D37850" w:rsidP="000D0A94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Основной целью Программы является </w:t>
      </w:r>
      <w:r w:rsidR="004077E8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3F29B3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A076E71" w14:textId="4279CC51" w:rsidR="00D37850" w:rsidRPr="00F77017" w:rsidRDefault="000A05EE" w:rsidP="000D0A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рассчитана на </w:t>
      </w:r>
      <w:r w:rsidR="00AC1D30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2022-2024</w:t>
      </w:r>
      <w:r w:rsidR="005E1304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7850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годы и предполагает решение следующих задач:</w:t>
      </w:r>
    </w:p>
    <w:p w14:paraId="2A249E26" w14:textId="77777777" w:rsidR="00D37850" w:rsidRPr="00F77017" w:rsidRDefault="00D37850" w:rsidP="000D0A94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повышение гражданской ответственности у населения за состоянием собственного здоровья;</w:t>
      </w:r>
    </w:p>
    <w:p w14:paraId="59D3DB04" w14:textId="77777777" w:rsidR="00D37850" w:rsidRPr="00F77017" w:rsidRDefault="00D37850" w:rsidP="000D0A94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повышение информированности населения о проблемах, связанных с возникновением </w:t>
      </w:r>
      <w:r w:rsidR="003F29B3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социально-значимых болезней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F85FFAC" w14:textId="77777777" w:rsidR="00D37850" w:rsidRPr="00F77017" w:rsidRDefault="00D37850" w:rsidP="000D0A94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информирование населения о ЗОЖ;</w:t>
      </w:r>
    </w:p>
    <w:p w14:paraId="42AE2D72" w14:textId="77777777" w:rsidR="00D37850" w:rsidRPr="00F77017" w:rsidRDefault="00D37850" w:rsidP="000D0A94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популяризация здорового образа жизни</w:t>
      </w:r>
      <w:r w:rsidR="003F29B3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реализации приоритетного проекта «Демография»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F123E97" w14:textId="77777777" w:rsidR="00D37850" w:rsidRPr="00F77017" w:rsidRDefault="00D37850" w:rsidP="000D0A94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предупреждение развития эпидемий;</w:t>
      </w:r>
    </w:p>
    <w:p w14:paraId="69F7E7F7" w14:textId="77777777" w:rsidR="008F5719" w:rsidRPr="00F77017" w:rsidRDefault="00D37850" w:rsidP="000D0A94">
      <w:pPr>
        <w:widowControl w:val="0"/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приближение медицинской помощи к жителям сельской</w:t>
      </w:r>
      <w:r w:rsidR="008F5719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местности;</w:t>
      </w:r>
    </w:p>
    <w:p w14:paraId="668AE903" w14:textId="77777777" w:rsidR="008F5719" w:rsidRPr="00F77017" w:rsidRDefault="008F5719" w:rsidP="000D0A94">
      <w:pPr>
        <w:widowControl w:val="0"/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D37850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эффективности противо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туберкулезной помощи населению;</w:t>
      </w:r>
    </w:p>
    <w:p w14:paraId="7A1A02B6" w14:textId="77777777" w:rsidR="008F5719" w:rsidRPr="00F77017" w:rsidRDefault="008F5719" w:rsidP="000D0A94">
      <w:pPr>
        <w:widowControl w:val="0"/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D37850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распространенности туберкулеза, предупреждение очаговости, заболеваемости среди д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етей и подростков.</w:t>
      </w:r>
    </w:p>
    <w:p w14:paraId="52E6EC2A" w14:textId="77777777" w:rsidR="003F29B3" w:rsidRPr="00F77017" w:rsidRDefault="003F29B3" w:rsidP="000D0A94">
      <w:pPr>
        <w:widowControl w:val="0"/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снижение распространения заболеваемости ВИЧ/СПИД инфекции среди населения Каа-Хемского района.</w:t>
      </w:r>
    </w:p>
    <w:p w14:paraId="7FFEDE65" w14:textId="77777777" w:rsidR="008F5719" w:rsidRPr="00F77017" w:rsidRDefault="003F29B3" w:rsidP="000D0A94">
      <w:pPr>
        <w:widowControl w:val="0"/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F5719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введение работы по информированию граждан о здоровой среде;</w:t>
      </w:r>
    </w:p>
    <w:p w14:paraId="6FA6D268" w14:textId="77777777" w:rsidR="008F5719" w:rsidRPr="00F77017" w:rsidRDefault="008F5719" w:rsidP="000D0A94">
      <w:pPr>
        <w:widowControl w:val="0"/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проведение различных конкурсов, акций и иных мероприятий;</w:t>
      </w:r>
    </w:p>
    <w:p w14:paraId="6DE2DA96" w14:textId="77777777" w:rsidR="008F5719" w:rsidRPr="00F77017" w:rsidRDefault="008F5719" w:rsidP="000D0A94">
      <w:pPr>
        <w:widowControl w:val="0"/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D37850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эффективности профилактической работы по туберкулезу среди различных групп населения района, в семейных и производственных очагах;</w:t>
      </w:r>
    </w:p>
    <w:p w14:paraId="32E8A19B" w14:textId="77777777" w:rsidR="00D37850" w:rsidRPr="00F77017" w:rsidRDefault="008F5719" w:rsidP="000D0A94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D37850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 полном объеме мероприятий по раннему выявлению первично инфицированных детей и подростков (с помощью тубдиагностики) и своевременного выявления заболеваний туберкулезом среди взрослого населения и подростков с помощью дифференцированного флюорографического обследования, использования бактериологических и иммун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ологических методов диагностики.</w:t>
      </w:r>
    </w:p>
    <w:p w14:paraId="218C8D8E" w14:textId="77777777" w:rsidR="003F29B3" w:rsidRPr="00F77017" w:rsidRDefault="003F29B3" w:rsidP="000D0A94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проведение мероприятий, направленных на </w:t>
      </w:r>
      <w:r w:rsidR="00EB38AD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продолжительности жизни в рамках проекта «Пути к долголетию».</w:t>
      </w:r>
    </w:p>
    <w:p w14:paraId="51D3C04A" w14:textId="77777777" w:rsidR="005E1304" w:rsidRPr="00F77017" w:rsidRDefault="005E1304" w:rsidP="000D0A94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081B6F5" w14:textId="77777777" w:rsidR="00D37850" w:rsidRPr="00F77017" w:rsidRDefault="00D37850" w:rsidP="000D0A94">
      <w:pPr>
        <w:keepNext/>
        <w:keepLines/>
        <w:widowControl w:val="0"/>
        <w:numPr>
          <w:ilvl w:val="0"/>
          <w:numId w:val="3"/>
        </w:numPr>
        <w:tabs>
          <w:tab w:val="left" w:pos="31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 w:rsidRPr="00F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 реализации Программы</w:t>
      </w:r>
      <w:bookmarkEnd w:id="3"/>
    </w:p>
    <w:p w14:paraId="1B54B79D" w14:textId="77777777" w:rsidR="008F5719" w:rsidRPr="00F77017" w:rsidRDefault="008F5719" w:rsidP="000D0A94">
      <w:pPr>
        <w:widowControl w:val="0"/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0A05EE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Ожидаемые результаты:</w:t>
      </w:r>
    </w:p>
    <w:p w14:paraId="1C14B703" w14:textId="77777777" w:rsidR="008F5719" w:rsidRPr="00F77017" w:rsidRDefault="008F5719" w:rsidP="000D0A94">
      <w:pPr>
        <w:widowControl w:val="0"/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0A05EE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снижение смертности населения от социально-значимых болезней</w:t>
      </w:r>
      <w:r w:rsidR="00EB38AD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 от ВИЧ/СПИД инфекций, туберкулеза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61BDB1AC" w14:textId="77777777" w:rsidR="008F5719" w:rsidRPr="00F77017" w:rsidRDefault="000A05EE" w:rsidP="000D0A94">
      <w:pPr>
        <w:widowControl w:val="0"/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F5719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стабилизация эпидемиологической заболеваемости по социально-значимым заболеваниям;</w:t>
      </w:r>
    </w:p>
    <w:p w14:paraId="45560D8B" w14:textId="77777777" w:rsidR="008F5719" w:rsidRPr="00F77017" w:rsidRDefault="000A05EE" w:rsidP="000D0A94">
      <w:pPr>
        <w:widowControl w:val="0"/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F5719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снижение уровня инфекционной заболеваемости;</w:t>
      </w:r>
    </w:p>
    <w:p w14:paraId="11526338" w14:textId="77777777" w:rsidR="008F5719" w:rsidRPr="00F77017" w:rsidRDefault="000A05EE" w:rsidP="000D0A94">
      <w:pPr>
        <w:widowControl w:val="0"/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F5719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увеличение ожидаемой продолжительности жизни.</w:t>
      </w:r>
    </w:p>
    <w:p w14:paraId="20B50707" w14:textId="77777777" w:rsidR="004077E8" w:rsidRPr="00F77017" w:rsidRDefault="004077E8" w:rsidP="000D0A94">
      <w:pPr>
        <w:widowControl w:val="0"/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увеличение числа граждан, занимающихся ЗОЖ, включая здоровое питание и отказ от вредных привычек.</w:t>
      </w:r>
    </w:p>
    <w:p w14:paraId="5BDB6D69" w14:textId="77777777" w:rsidR="00553CE4" w:rsidRPr="00F77017" w:rsidRDefault="00553CE4" w:rsidP="000D0A94">
      <w:pPr>
        <w:widowControl w:val="0"/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5963E59" w14:textId="77777777" w:rsidR="008E377E" w:rsidRPr="00F77017" w:rsidRDefault="00D37850" w:rsidP="008E377E">
      <w:pPr>
        <w:keepNext/>
        <w:keepLines/>
        <w:widowControl w:val="0"/>
        <w:numPr>
          <w:ilvl w:val="0"/>
          <w:numId w:val="3"/>
        </w:numPr>
        <w:tabs>
          <w:tab w:val="left" w:pos="29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 w:rsidRPr="00F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проблемы и обоснование необходимости</w:t>
      </w:r>
    </w:p>
    <w:p w14:paraId="0C013522" w14:textId="2FE2C11D" w:rsidR="00D37850" w:rsidRPr="00F77017" w:rsidRDefault="00D37850" w:rsidP="008E377E">
      <w:pPr>
        <w:keepNext/>
        <w:keepLines/>
        <w:widowControl w:val="0"/>
        <w:tabs>
          <w:tab w:val="left" w:pos="29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её решения программно-целевым методом</w:t>
      </w:r>
      <w:bookmarkEnd w:id="4"/>
    </w:p>
    <w:p w14:paraId="6F0467C4" w14:textId="77777777" w:rsidR="00D37850" w:rsidRPr="00F77017" w:rsidRDefault="00D37850" w:rsidP="000D0A94">
      <w:pPr>
        <w:widowControl w:val="0"/>
        <w:tabs>
          <w:tab w:val="left" w:pos="617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Каа - Хемский кожуун расположен в восточной части Республики Тыва. Территория 270 кв. км. Большую часть территории занимает тайга </w:t>
      </w:r>
      <w:r w:rsidR="0095209E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- 68%. Богата лесными и водными 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ландшафтами и другими ископаемыми ресурсами. Кожуунный центр с. Сарыг-Сеп. Населенные пункты расположены по обе стороны р. Енисей и его притоков</w:t>
      </w:r>
      <w:r w:rsidR="0095209E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где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этой причине транспортная связь с населенными пунктами неустойчивая в зависимости от сезона.</w:t>
      </w:r>
    </w:p>
    <w:p w14:paraId="170DB727" w14:textId="77777777" w:rsidR="0095209E" w:rsidRPr="00F77017" w:rsidRDefault="00D37850" w:rsidP="000D0A9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Расположение села от столицы Республики Тыва г.Кызыл - 89 км. По протяжению дорога с асфальтовым покрытием, ежегодно проводят ремонтно-восстановительные работы. После строительства моста в 2001 г через р. Енисей сообщения с Республиканскими ЛПУ устойчивое круглосуточное. Неустойчивая транспортная связь с населенными пунктами в период межсезонья является одним </w:t>
      </w:r>
      <w:r w:rsidR="0095209E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факторов,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затрудняющих оказание медицинской помощи сельскому населению кожууна. Экономическая отрасль кожууна развита слабо, нет крупных промышленных предприятий основное направление хозяйства кожууна деревообработка, охотоведение, огородничество</w:t>
      </w:r>
      <w:r w:rsidR="0095209E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слабо развито животноводство.</w:t>
      </w:r>
    </w:p>
    <w:p w14:paraId="5D6919EF" w14:textId="77777777" w:rsidR="00681493" w:rsidRPr="00F77017" w:rsidRDefault="00681493" w:rsidP="000D0A9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ин</w:t>
      </w:r>
      <w:r w:rsidR="00EB38AD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формации регионального Министерства здравоохранения Республики Тыва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2017 году на диспансерный учет с туберкулезом взято 532 человека, в том числе 50 человек в учреждениях ФСИН. Посмертно выявлено шесть случаев туберкулеза. Снижение заболеваемости в 2017 году составило 6% с показателем 167 на 100 тыс. населения, что в 3,1 раза превышает средние показатели по России и 1,8 раз показатели СФО.</w:t>
      </w:r>
    </w:p>
    <w:p w14:paraId="2414DEB0" w14:textId="77777777" w:rsidR="00681493" w:rsidRPr="00F77017" w:rsidRDefault="00681493" w:rsidP="000D0A9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итогам пяти месяцев снижение охвата ФГ-обследованием отмечено в Бай-Тайгинском районе с 49% до 45%, со снижением показателя заболеваемости на 70%. В Барун-Хемчикском районе снижение охвата составило с 58% до 50%, заболеваемости – на 37%, в Тоджинском снижение охвата - с 45% до 69%, заболеваемости – в два раза. В Кызылском районе </w:t>
      </w:r>
      <w:r w:rsidR="007A469C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радиционно низкий охват населения ФГ-обследованием, в этом году там продолжилось снижение показателя, при этом показатель средней заболеваемости снизился на 63%.</w:t>
      </w:r>
    </w:p>
    <w:p w14:paraId="4FAFB8E3" w14:textId="77777777" w:rsidR="00681493" w:rsidRPr="00F77017" w:rsidRDefault="00681493" w:rsidP="000D0A9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 показателя смертности отмечен в Эрзинском и Тес-Хемском районах от ноля до трех случаев, в Чаа-Хольском районе до четырех, в Каа-Хемском с трех до четырех случаев.</w:t>
      </w:r>
    </w:p>
    <w:p w14:paraId="2354CA16" w14:textId="77777777" w:rsidR="007A469C" w:rsidRPr="00F77017" w:rsidRDefault="007A469C" w:rsidP="000D0A9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Каа-Хемском районе по данным Республиканского центра СПИД Республики Тыва с 2014 года наблюдается увеличение заболеваемости ВИЧ инфекции среди населения. Рост заболеваемости наблюдается среди молодых людей от 20 лет и старше (68%). </w:t>
      </w:r>
      <w:r w:rsidR="00C12F71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Заболеваемость 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ВИЧ-инфицированных по социальным группам </w:t>
      </w:r>
      <w:r w:rsidR="00C12F71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показывает, что в основном 64 % больных среди безработных граждан.</w:t>
      </w:r>
    </w:p>
    <w:p w14:paraId="06D97DDF" w14:textId="7E258D7A" w:rsidR="00681493" w:rsidRPr="00F77017" w:rsidRDefault="00681493" w:rsidP="000D0A9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стабилизации социально-значимых заболеваний, в частности туберкулеза</w:t>
      </w:r>
      <w:r w:rsidR="00C12F71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ВИЧ/СПИД инфекции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Администрацией Каа-Хемского района разработана данная муниципальная программа «Развитие здраво</w:t>
      </w:r>
      <w:r w:rsidR="00C12F71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охранения в Каа-Хемском кожууне на </w:t>
      </w:r>
      <w:r w:rsidR="00AC1D30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2022-2024</w:t>
      </w:r>
      <w:r w:rsidR="00C12F71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годы».</w:t>
      </w:r>
    </w:p>
    <w:p w14:paraId="60BE7940" w14:textId="77777777" w:rsidR="00C12F71" w:rsidRPr="00F77017" w:rsidRDefault="00C12F71" w:rsidP="000D0A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42571A2" w14:textId="77777777" w:rsidR="009051A4" w:rsidRPr="00F77017" w:rsidRDefault="003A5513" w:rsidP="000D0A94">
      <w:pPr>
        <w:pStyle w:val="a4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Ресурсное обеспечение муниципальной программы</w:t>
      </w:r>
    </w:p>
    <w:p w14:paraId="5863B6E7" w14:textId="58CB5D7B" w:rsidR="009B1AFF" w:rsidRPr="00F77017" w:rsidRDefault="009B1AFF" w:rsidP="000D0A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на 2022-2024 годы составит </w:t>
      </w:r>
      <w:r w:rsidR="00796D0D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1 275 000</w:t>
      </w: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них:</w:t>
      </w:r>
    </w:p>
    <w:p w14:paraId="046CA0DA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Социально-значимые болезни – чесотка, педикулез:</w:t>
      </w:r>
    </w:p>
    <w:p w14:paraId="56637202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– 15 000 рублей (местный бюджет)</w:t>
      </w:r>
    </w:p>
    <w:p w14:paraId="40199403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– 20 000 рублей (местный бюджет)</w:t>
      </w:r>
    </w:p>
    <w:p w14:paraId="30501666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2024 – 30 000 рублей (местный бюджет)</w:t>
      </w:r>
    </w:p>
    <w:p w14:paraId="0B7822B2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Социально-значимые болезни – туберкулез:</w:t>
      </w:r>
    </w:p>
    <w:p w14:paraId="1AD7BFC3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– 300 000 рублей (местный бюджет)</w:t>
      </w:r>
    </w:p>
    <w:p w14:paraId="61E45F0C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– 350 000 рублей (местный бюджет)</w:t>
      </w:r>
    </w:p>
    <w:p w14:paraId="111F4CF1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2024 – 400 000 тыс. рублей (местный бюджет)</w:t>
      </w:r>
    </w:p>
    <w:p w14:paraId="78D77D82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ВИЧ/СПИД:</w:t>
      </w:r>
    </w:p>
    <w:p w14:paraId="322FD3D8" w14:textId="18537BDC" w:rsidR="0086619B" w:rsidRPr="00F77017" w:rsidRDefault="0086619B" w:rsidP="008661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– </w:t>
      </w:r>
      <w:r w:rsidR="000820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(местный бюджет)</w:t>
      </w:r>
    </w:p>
    <w:p w14:paraId="6FDECFDF" w14:textId="2D744EEF" w:rsidR="0086619B" w:rsidRPr="00F77017" w:rsidRDefault="0086619B" w:rsidP="008661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– 10 000 рублей (местный бюджет)</w:t>
      </w:r>
    </w:p>
    <w:p w14:paraId="51D98603" w14:textId="6204EE61" w:rsidR="0086619B" w:rsidRPr="00F77017" w:rsidRDefault="0086619B" w:rsidP="008661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2024 – 10 000 рублей (местный бюджет)</w:t>
      </w:r>
    </w:p>
    <w:p w14:paraId="503AEB3F" w14:textId="77777777" w:rsidR="009B1AFF" w:rsidRPr="00F77017" w:rsidRDefault="009B1AFF" w:rsidP="008661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Наркомания и алкоголизм:</w:t>
      </w:r>
    </w:p>
    <w:p w14:paraId="7F5FA930" w14:textId="76E8B328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– </w:t>
      </w:r>
      <w:r w:rsidR="000820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(местный бюджет)</w:t>
      </w:r>
    </w:p>
    <w:p w14:paraId="13EA9B23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– 30 000 рублей (местный бюджет)</w:t>
      </w:r>
    </w:p>
    <w:p w14:paraId="2A4E5B91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2024 – 40 000 рублей (местный бюджет)</w:t>
      </w:r>
    </w:p>
    <w:p w14:paraId="1B1B98F4" w14:textId="77777777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Сердечно-сосудистые заболевания:</w:t>
      </w:r>
    </w:p>
    <w:p w14:paraId="0CC782DD" w14:textId="1134B34B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– 1</w:t>
      </w:r>
      <w:r w:rsidR="0015108A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(местный бюджет)</w:t>
      </w:r>
    </w:p>
    <w:p w14:paraId="5CF410EE" w14:textId="082C9D86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– </w:t>
      </w:r>
      <w:r w:rsidR="00796D0D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рублей (местный бюджет)</w:t>
      </w:r>
    </w:p>
    <w:p w14:paraId="1A3A6097" w14:textId="52B1635D" w:rsidR="009B1AFF" w:rsidRPr="00F77017" w:rsidRDefault="009B1AFF" w:rsidP="000D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– </w:t>
      </w:r>
      <w:r w:rsidR="00796D0D"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7017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рублей (местный бюджет)</w:t>
      </w:r>
    </w:p>
    <w:p w14:paraId="49B85AA3" w14:textId="4C984A6F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Объем финансирования на плановый период </w:t>
      </w:r>
      <w:r w:rsidR="00AC1D30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2022-2024</w:t>
      </w:r>
      <w:r w:rsidR="009B1AFF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 будет уточняться ежегодно при формировании бюджета Каа-Хемского района на соответствующий год исходя из возможностей бюджета муниципального района, мониторинга эффективности мероприятий, предусмотренных программой в планируемом году.</w:t>
      </w:r>
    </w:p>
    <w:p w14:paraId="407A09B0" w14:textId="65613BEB" w:rsidR="003A5D5A" w:rsidRPr="00F77017" w:rsidRDefault="003A5D5A" w:rsidP="000D0A9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sub_350"/>
      <w:r w:rsidRPr="00F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End w:id="5"/>
      <w:r w:rsidRPr="00F77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Контроль за ходом реализации программы</w:t>
      </w:r>
    </w:p>
    <w:p w14:paraId="24D2830D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sub_360"/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реализацией программы осуществляет Администрация муниципального образования «Каа-Хемский кожуун Республики Тыва» на основе изучения отчета о целевом использовании выделенных финансовых средств и о ходе выполнения программы на основании ежегодного отчета и проведенного анализа достигнутых результатов реализации программных мероприятий, предоставленного координатором программы.</w:t>
      </w:r>
    </w:p>
    <w:bookmarkEnd w:id="6"/>
    <w:p w14:paraId="3AFA4298" w14:textId="77777777" w:rsidR="00537D52" w:rsidRPr="00F77017" w:rsidRDefault="00537D52" w:rsidP="000D0A9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социальной, экономической, бюджетной эффективности реализации муниципальной программы</w:t>
      </w:r>
    </w:p>
    <w:p w14:paraId="2DD995E4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эффективности реализации программы будет производится на основе роста по целевым индикаторам, указанным в разделе «целевые индикаторы»</w:t>
      </w:r>
      <w:r w:rsidR="007A16B4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1).</w:t>
      </w:r>
    </w:p>
    <w:p w14:paraId="0F58090C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Успешное выполнение программы позволит обеспечить:</w:t>
      </w:r>
    </w:p>
    <w:p w14:paraId="3F5FD432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рост уровня гражданской ответственности у населения за состоянием собственного здоровья;</w:t>
      </w:r>
    </w:p>
    <w:p w14:paraId="5A5C5CE7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рост уровня информированности населения о проблемах, связанных с возникновением социально-значимых болезней;</w:t>
      </w:r>
    </w:p>
    <w:p w14:paraId="2464E27C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повышение эффективности противотуберкулезной помощи населению;</w:t>
      </w:r>
    </w:p>
    <w:p w14:paraId="4D517D59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="00537D52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распространенности туберкулеза, предупреждение очаговости, заболеваемости среди детей и подростков.</w:t>
      </w:r>
    </w:p>
    <w:p w14:paraId="4A42920D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bookmarkStart w:id="7" w:name="_Hlk98751848"/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снижение распространения заболеваемости ВИЧ/СПИД инфекции среди населения Каа-Хемского района</w:t>
      </w:r>
      <w:bookmarkEnd w:id="7"/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6E9EAF0" w14:textId="77777777" w:rsidR="00537D52" w:rsidRPr="00F77017" w:rsidRDefault="00537D52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снижение количества больных, состоящих на учете у нарколога в ГБУЗ «Каа-Хемская ЦКБ» на 15 %.</w:t>
      </w:r>
    </w:p>
    <w:p w14:paraId="06E700D0" w14:textId="77777777" w:rsidR="003A5D5A" w:rsidRPr="00F77017" w:rsidRDefault="00537D52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повышение эффективности межведомственного взаимодействия субъектов профилактики социально-значимых болезней.</w:t>
      </w:r>
    </w:p>
    <w:p w14:paraId="6716D658" w14:textId="77777777" w:rsidR="00897699" w:rsidRPr="00F77017" w:rsidRDefault="00897699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увеличения числа граждан, занимающихся здоровым образом жизни, включая здоровое питание и отказ от вредных привычек</w:t>
      </w:r>
    </w:p>
    <w:p w14:paraId="7229E34E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C021268" w14:textId="77777777" w:rsidR="003A5D5A" w:rsidRPr="00F77017" w:rsidRDefault="003A5D5A" w:rsidP="000D0A9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sub_390"/>
      <w:r w:rsidRPr="00F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рисков реализации программы</w:t>
      </w:r>
      <w:bookmarkEnd w:id="8"/>
    </w:p>
    <w:p w14:paraId="06890F5A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14:paraId="531EB4EE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Внешние риски:</w:t>
      </w:r>
    </w:p>
    <w:p w14:paraId="5C0FE201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изменение федерального законодательства и законодательства Республики Тыва в сфере </w:t>
      </w:r>
      <w:r w:rsidR="00537D52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здравоохранения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685E2E81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</w:t>
      </w:r>
      <w:r w:rsidR="00537D52"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ципальными образованиями в сфере здравоохранения</w:t>
      </w: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14:paraId="002B0B85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Внутренние риски:</w:t>
      </w:r>
    </w:p>
    <w:p w14:paraId="0E659C13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возможность недофинансирования или несвоевременного финансирования расходов на реализацию программных мероприятий из местного бюджета;</w:t>
      </w:r>
    </w:p>
    <w:p w14:paraId="6B214591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 процессе реализации Программы возможны отклонения в достижении результатов из-за несоответствия влияния отдельных мероприятий Программы на ситуацию в среде, их ожидаемой эффективности, а также недостаточной координации деятельности исполнителей Программы на различных стадиях её реализации.</w:t>
      </w:r>
    </w:p>
    <w:p w14:paraId="7676AA83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управления указанными рисками в процессе реализации Программы предусматривается:</w:t>
      </w:r>
    </w:p>
    <w:p w14:paraId="41786A16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14:paraId="438AA9A1" w14:textId="77777777" w:rsidR="003A5D5A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14:paraId="399A64F3" w14:textId="77777777" w:rsidR="00BB602F" w:rsidRPr="00F77017" w:rsidRDefault="003A5D5A" w:rsidP="000D0A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B602F" w:rsidRPr="00F77017" w:rsidSect="00D37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7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14:paraId="731F817C" w14:textId="77777777" w:rsidR="002D7B00" w:rsidRPr="00F77017" w:rsidRDefault="007A16B4" w:rsidP="002D7B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017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14:paraId="1AB76FA1" w14:textId="77777777" w:rsidR="007A16B4" w:rsidRPr="00F77017" w:rsidRDefault="007A16B4" w:rsidP="002D7B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017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14:paraId="0A423774" w14:textId="77777777" w:rsidR="007A16B4" w:rsidRPr="00F77017" w:rsidRDefault="007A16B4" w:rsidP="002D7B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017">
        <w:rPr>
          <w:rFonts w:ascii="Times New Roman" w:eastAsia="Times New Roman" w:hAnsi="Times New Roman" w:cs="Times New Roman"/>
          <w:lang w:eastAsia="ru-RU"/>
        </w:rPr>
        <w:t xml:space="preserve">Каа-Хемского района </w:t>
      </w:r>
    </w:p>
    <w:p w14:paraId="295606F4" w14:textId="7A56C8AE" w:rsidR="002D7B00" w:rsidRPr="00F77017" w:rsidRDefault="007A16B4" w:rsidP="002D7B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017">
        <w:rPr>
          <w:rFonts w:ascii="Times New Roman" w:eastAsia="Times New Roman" w:hAnsi="Times New Roman" w:cs="Times New Roman"/>
          <w:lang w:eastAsia="ru-RU"/>
        </w:rPr>
        <w:t>о</w:t>
      </w:r>
      <w:r w:rsidR="00897699" w:rsidRPr="00F77017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0D0A94" w:rsidRPr="00F77017">
        <w:rPr>
          <w:rFonts w:ascii="Times New Roman" w:eastAsia="Times New Roman" w:hAnsi="Times New Roman" w:cs="Times New Roman"/>
          <w:lang w:eastAsia="ru-RU"/>
        </w:rPr>
        <w:t>__ августа 2021</w:t>
      </w:r>
      <w:r w:rsidR="00897699" w:rsidRPr="00F77017">
        <w:rPr>
          <w:rFonts w:ascii="Times New Roman" w:eastAsia="Times New Roman" w:hAnsi="Times New Roman" w:cs="Times New Roman"/>
          <w:lang w:eastAsia="ru-RU"/>
        </w:rPr>
        <w:t xml:space="preserve"> года № </w:t>
      </w:r>
    </w:p>
    <w:p w14:paraId="3F12E309" w14:textId="77777777" w:rsidR="002D7B00" w:rsidRPr="00F77017" w:rsidRDefault="002D7B00" w:rsidP="002D7B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9C9487" w14:textId="77777777" w:rsidR="002D7B00" w:rsidRPr="00F77017" w:rsidRDefault="002D7B00" w:rsidP="002D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017">
        <w:rPr>
          <w:rFonts w:ascii="Times New Roman" w:eastAsia="Times New Roman" w:hAnsi="Times New Roman" w:cs="Times New Roman"/>
          <w:b/>
          <w:lang w:eastAsia="ru-RU"/>
        </w:rPr>
        <w:t>Сведения о составе и значениях показателей (индикаторов) муниципальной программы</w:t>
      </w:r>
    </w:p>
    <w:p w14:paraId="5BFAEB17" w14:textId="77777777" w:rsidR="002D7B00" w:rsidRPr="00F77017" w:rsidRDefault="002D7B00" w:rsidP="002D7B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914"/>
        <w:gridCol w:w="426"/>
        <w:gridCol w:w="4442"/>
        <w:gridCol w:w="1240"/>
        <w:gridCol w:w="1191"/>
        <w:gridCol w:w="12"/>
        <w:gridCol w:w="1070"/>
        <w:gridCol w:w="8"/>
        <w:gridCol w:w="1241"/>
        <w:gridCol w:w="19"/>
        <w:gridCol w:w="1260"/>
        <w:gridCol w:w="16"/>
        <w:gridCol w:w="1442"/>
      </w:tblGrid>
      <w:tr w:rsidR="002D7B00" w:rsidRPr="00F77017" w14:paraId="11A63BDA" w14:textId="77777777" w:rsidTr="00BB602F">
        <w:trPr>
          <w:trHeight w:val="135"/>
          <w:jc w:val="center"/>
        </w:trPr>
        <w:tc>
          <w:tcPr>
            <w:tcW w:w="1662" w:type="dxa"/>
            <w:gridSpan w:val="2"/>
            <w:shd w:val="clear" w:color="auto" w:fill="auto"/>
          </w:tcPr>
          <w:p w14:paraId="4419A859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275C33C1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42" w:type="dxa"/>
            <w:vMerge w:val="restart"/>
            <w:shd w:val="clear" w:color="auto" w:fill="auto"/>
          </w:tcPr>
          <w:p w14:paraId="173A294A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40" w:type="dxa"/>
            <w:vMerge w:val="restart"/>
            <w:shd w:val="clear" w:color="auto" w:fill="auto"/>
          </w:tcPr>
          <w:p w14:paraId="2D4EBBDF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6259" w:type="dxa"/>
            <w:gridSpan w:val="9"/>
            <w:shd w:val="clear" w:color="auto" w:fill="auto"/>
          </w:tcPr>
          <w:p w14:paraId="408A387F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Значения целевых показателей (индикаторов)</w:t>
            </w:r>
          </w:p>
        </w:tc>
      </w:tr>
      <w:tr w:rsidR="00BB602F" w:rsidRPr="00F77017" w14:paraId="11EC6477" w14:textId="77777777" w:rsidTr="00BB602F">
        <w:trPr>
          <w:trHeight w:val="135"/>
          <w:jc w:val="center"/>
        </w:trPr>
        <w:tc>
          <w:tcPr>
            <w:tcW w:w="748" w:type="dxa"/>
            <w:vMerge w:val="restart"/>
            <w:shd w:val="clear" w:color="auto" w:fill="auto"/>
          </w:tcPr>
          <w:p w14:paraId="3152DA43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914" w:type="dxa"/>
            <w:vMerge w:val="restart"/>
            <w:shd w:val="clear" w:color="auto" w:fill="auto"/>
          </w:tcPr>
          <w:p w14:paraId="528BFB6E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426" w:type="dxa"/>
            <w:vMerge/>
            <w:shd w:val="clear" w:color="auto" w:fill="auto"/>
          </w:tcPr>
          <w:p w14:paraId="5F39828D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14:paraId="3C524206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14:paraId="3ABBC21D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14:paraId="50129585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Отчетный (базовый период)</w:t>
            </w:r>
          </w:p>
        </w:tc>
        <w:tc>
          <w:tcPr>
            <w:tcW w:w="1070" w:type="dxa"/>
            <w:shd w:val="clear" w:color="auto" w:fill="auto"/>
          </w:tcPr>
          <w:p w14:paraId="73FEF7FD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177C9B99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Очередной год</w:t>
            </w:r>
          </w:p>
          <w:p w14:paraId="226A0BA2" w14:textId="3328E45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D0A94" w:rsidRPr="00F770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95" w:type="dxa"/>
            <w:gridSpan w:val="3"/>
            <w:shd w:val="clear" w:color="auto" w:fill="auto"/>
          </w:tcPr>
          <w:p w14:paraId="594D1187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14:paraId="7CA65369" w14:textId="42CCA1B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D0A94" w:rsidRPr="00F770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14:paraId="13DAEE84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14:paraId="50FCEBBC" w14:textId="1849CB18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D0A94" w:rsidRPr="00F770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B602F" w:rsidRPr="00F77017" w14:paraId="5C60BE8D" w14:textId="77777777" w:rsidTr="00BB602F">
        <w:trPr>
          <w:trHeight w:val="103"/>
          <w:jc w:val="center"/>
        </w:trPr>
        <w:tc>
          <w:tcPr>
            <w:tcW w:w="748" w:type="dxa"/>
            <w:vMerge/>
            <w:shd w:val="clear" w:color="auto" w:fill="auto"/>
          </w:tcPr>
          <w:p w14:paraId="34D6E28D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14:paraId="32BE1357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0F8BB76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14:paraId="213C62F4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14:paraId="24ACF040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14:paraId="19899747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14:paraId="4E7D31F8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14:paraId="33F2D342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14:paraId="059F4E7E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14:paraId="4B92DE23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B00" w:rsidRPr="00F77017" w14:paraId="0160A68B" w14:textId="77777777" w:rsidTr="00BB602F">
        <w:trPr>
          <w:jc w:val="center"/>
        </w:trPr>
        <w:tc>
          <w:tcPr>
            <w:tcW w:w="748" w:type="dxa"/>
            <w:shd w:val="clear" w:color="auto" w:fill="auto"/>
          </w:tcPr>
          <w:p w14:paraId="067B1F43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14:paraId="3C6B005E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14:paraId="6FF9E45F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1" w:type="dxa"/>
            <w:gridSpan w:val="11"/>
            <w:shd w:val="clear" w:color="auto" w:fill="auto"/>
          </w:tcPr>
          <w:p w14:paraId="60BB02A0" w14:textId="6E5DA2C2" w:rsidR="002D7B00" w:rsidRPr="00F77017" w:rsidRDefault="002D7B00" w:rsidP="007B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7B0F4C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в Каа-Хемском районе на </w:t>
            </w:r>
            <w:r w:rsidR="00AC1D30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="000D0A94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F4C"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BB602F" w:rsidRPr="00F77017" w14:paraId="1821838E" w14:textId="77777777" w:rsidTr="00BB602F">
        <w:trPr>
          <w:jc w:val="center"/>
        </w:trPr>
        <w:tc>
          <w:tcPr>
            <w:tcW w:w="748" w:type="dxa"/>
            <w:shd w:val="clear" w:color="auto" w:fill="auto"/>
          </w:tcPr>
          <w:p w14:paraId="73E1E3FB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14" w:type="dxa"/>
            <w:shd w:val="clear" w:color="auto" w:fill="auto"/>
          </w:tcPr>
          <w:p w14:paraId="3BF40AF2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1C54C78C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</w:tcPr>
          <w:p w14:paraId="7B781355" w14:textId="77777777" w:rsidR="002D7B00" w:rsidRPr="00F77017" w:rsidRDefault="007B0F4C" w:rsidP="002D7B00">
            <w:pPr>
              <w:spacing w:after="0" w:line="240" w:lineRule="auto"/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77017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Проинформированное население о социально-значимых заболеваний, в том числе, туберкулезе, педикулезе, ВИЧ/СПИД инфекции, наркомании и алкоголизма</w:t>
            </w:r>
          </w:p>
        </w:tc>
        <w:tc>
          <w:tcPr>
            <w:tcW w:w="1240" w:type="dxa"/>
            <w:shd w:val="clear" w:color="auto" w:fill="auto"/>
          </w:tcPr>
          <w:p w14:paraId="488A9D0A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14:paraId="08B75789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5E082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1090" w:type="dxa"/>
            <w:gridSpan w:val="3"/>
            <w:shd w:val="clear" w:color="auto" w:fill="auto"/>
          </w:tcPr>
          <w:p w14:paraId="02A2CED8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5F26F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2926E7C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55393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60" w:type="dxa"/>
            <w:shd w:val="clear" w:color="auto" w:fill="auto"/>
          </w:tcPr>
          <w:p w14:paraId="6F842802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FCD5D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5F762D58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66A86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BB602F" w:rsidRPr="00F77017" w14:paraId="55112E01" w14:textId="77777777" w:rsidTr="00BB602F">
        <w:trPr>
          <w:jc w:val="center"/>
        </w:trPr>
        <w:tc>
          <w:tcPr>
            <w:tcW w:w="748" w:type="dxa"/>
            <w:shd w:val="clear" w:color="auto" w:fill="auto"/>
          </w:tcPr>
          <w:p w14:paraId="58C08F23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14" w:type="dxa"/>
            <w:shd w:val="clear" w:color="auto" w:fill="auto"/>
          </w:tcPr>
          <w:p w14:paraId="6E402687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2E12E9B4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</w:tcPr>
          <w:p w14:paraId="269C5E28" w14:textId="77777777" w:rsidR="002D7B00" w:rsidRPr="00F77017" w:rsidRDefault="007B0F4C" w:rsidP="002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Камерная обработка очагов инфекции педикулеза</w:t>
            </w:r>
          </w:p>
        </w:tc>
        <w:tc>
          <w:tcPr>
            <w:tcW w:w="1240" w:type="dxa"/>
            <w:shd w:val="clear" w:color="auto" w:fill="auto"/>
          </w:tcPr>
          <w:p w14:paraId="57D4EE1C" w14:textId="77777777" w:rsidR="002D7B00" w:rsidRPr="00F77017" w:rsidRDefault="007B0F4C" w:rsidP="007B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91" w:type="dxa"/>
            <w:shd w:val="clear" w:color="auto" w:fill="auto"/>
          </w:tcPr>
          <w:p w14:paraId="1EBF9040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14:paraId="360DA631" w14:textId="77777777" w:rsidR="002D7B00" w:rsidRPr="00F77017" w:rsidRDefault="007B0F4C" w:rsidP="007B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4AD6F75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C99A42F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D3C8042" w14:textId="77777777" w:rsidR="002D7B00" w:rsidRPr="00F77017" w:rsidRDefault="007B0F4C" w:rsidP="007B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02F" w:rsidRPr="00F77017" w14:paraId="61A0ECDD" w14:textId="77777777" w:rsidTr="00BB602F">
        <w:trPr>
          <w:jc w:val="center"/>
        </w:trPr>
        <w:tc>
          <w:tcPr>
            <w:tcW w:w="748" w:type="dxa"/>
            <w:shd w:val="clear" w:color="auto" w:fill="auto"/>
          </w:tcPr>
          <w:p w14:paraId="0F1EC7E4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14" w:type="dxa"/>
            <w:shd w:val="clear" w:color="auto" w:fill="auto"/>
          </w:tcPr>
          <w:p w14:paraId="2AE71C0B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7F2B9DE5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</w:tcPr>
          <w:p w14:paraId="47555A78" w14:textId="77777777" w:rsidR="002D7B00" w:rsidRPr="00F77017" w:rsidRDefault="007B0F4C" w:rsidP="002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злоупотребляющие алкогольные напитки</w:t>
            </w:r>
          </w:p>
        </w:tc>
        <w:tc>
          <w:tcPr>
            <w:tcW w:w="1240" w:type="dxa"/>
            <w:shd w:val="clear" w:color="auto" w:fill="auto"/>
          </w:tcPr>
          <w:p w14:paraId="307C863C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368111" w14:textId="77777777" w:rsidR="002D7B00" w:rsidRPr="00F77017" w:rsidRDefault="002D7B00" w:rsidP="002D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91" w:type="dxa"/>
            <w:shd w:val="clear" w:color="auto" w:fill="auto"/>
          </w:tcPr>
          <w:p w14:paraId="2A0237C7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29586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090" w:type="dxa"/>
            <w:gridSpan w:val="3"/>
            <w:shd w:val="clear" w:color="auto" w:fill="auto"/>
          </w:tcPr>
          <w:p w14:paraId="73CF136A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8AC43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5656FC4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D7B7C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0" w:type="dxa"/>
            <w:shd w:val="clear" w:color="auto" w:fill="auto"/>
          </w:tcPr>
          <w:p w14:paraId="5BF7103F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736AD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51395301" w14:textId="77777777" w:rsidR="002D7B00" w:rsidRPr="00F77017" w:rsidRDefault="002D7B00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22422" w14:textId="77777777" w:rsidR="002D7B00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0F4C" w:rsidRPr="00F77017" w14:paraId="4EB853FE" w14:textId="77777777" w:rsidTr="00BB602F">
        <w:trPr>
          <w:jc w:val="center"/>
        </w:trPr>
        <w:tc>
          <w:tcPr>
            <w:tcW w:w="748" w:type="dxa"/>
            <w:shd w:val="clear" w:color="auto" w:fill="auto"/>
          </w:tcPr>
          <w:p w14:paraId="75ABC32F" w14:textId="7777777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914" w:type="dxa"/>
            <w:shd w:val="clear" w:color="auto" w:fill="auto"/>
          </w:tcPr>
          <w:p w14:paraId="596BC74D" w14:textId="7777777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16C9BE1A" w14:textId="7777777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2" w:type="dxa"/>
            <w:shd w:val="clear" w:color="auto" w:fill="auto"/>
          </w:tcPr>
          <w:p w14:paraId="548E98DA" w14:textId="77777777" w:rsidR="007B0F4C" w:rsidRPr="00F77017" w:rsidRDefault="007B0F4C" w:rsidP="002D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занимающийся здоровым образом жизни</w:t>
            </w:r>
          </w:p>
        </w:tc>
        <w:tc>
          <w:tcPr>
            <w:tcW w:w="1240" w:type="dxa"/>
            <w:shd w:val="clear" w:color="auto" w:fill="auto"/>
          </w:tcPr>
          <w:p w14:paraId="7D8ABFE1" w14:textId="7777777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14:paraId="4EF00F07" w14:textId="7777777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0" w:type="dxa"/>
            <w:gridSpan w:val="3"/>
            <w:shd w:val="clear" w:color="auto" w:fill="auto"/>
          </w:tcPr>
          <w:p w14:paraId="6A7D55C8" w14:textId="7777777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550DC7B" w14:textId="7777777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60" w:type="dxa"/>
            <w:shd w:val="clear" w:color="auto" w:fill="auto"/>
          </w:tcPr>
          <w:p w14:paraId="6A273A11" w14:textId="7777777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7DEB80C7" w14:textId="77777777" w:rsidR="007B0F4C" w:rsidRPr="00F77017" w:rsidRDefault="007B0F4C" w:rsidP="002D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2558C1" w:rsidRPr="00F77017" w14:paraId="5C7F826F" w14:textId="77777777" w:rsidTr="00BB602F">
        <w:trPr>
          <w:jc w:val="center"/>
        </w:trPr>
        <w:tc>
          <w:tcPr>
            <w:tcW w:w="748" w:type="dxa"/>
            <w:shd w:val="clear" w:color="auto" w:fill="auto"/>
          </w:tcPr>
          <w:p w14:paraId="107B214D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914" w:type="dxa"/>
            <w:shd w:val="clear" w:color="auto" w:fill="auto"/>
          </w:tcPr>
          <w:p w14:paraId="5EB93B45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323BE08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2" w:type="dxa"/>
            <w:shd w:val="clear" w:color="auto" w:fill="auto"/>
          </w:tcPr>
          <w:p w14:paraId="0D3DE4F8" w14:textId="77777777" w:rsidR="002558C1" w:rsidRPr="00F77017" w:rsidRDefault="002558C1" w:rsidP="0025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Проинформированное население о сердечно-сосудистых заболеваний</w:t>
            </w:r>
          </w:p>
        </w:tc>
        <w:tc>
          <w:tcPr>
            <w:tcW w:w="1240" w:type="dxa"/>
            <w:shd w:val="clear" w:color="auto" w:fill="auto"/>
          </w:tcPr>
          <w:p w14:paraId="1A85AA15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14:paraId="14DAA3A4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481C4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1090" w:type="dxa"/>
            <w:gridSpan w:val="3"/>
            <w:shd w:val="clear" w:color="auto" w:fill="auto"/>
          </w:tcPr>
          <w:p w14:paraId="67B2FA5B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B5574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74A23F2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1EED3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60" w:type="dxa"/>
            <w:shd w:val="clear" w:color="auto" w:fill="auto"/>
          </w:tcPr>
          <w:p w14:paraId="4C4414DB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0E74E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51167BB1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425EA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2558C1" w:rsidRPr="007B0F4C" w14:paraId="3740A7E8" w14:textId="77777777" w:rsidTr="00BB602F">
        <w:trPr>
          <w:jc w:val="center"/>
        </w:trPr>
        <w:tc>
          <w:tcPr>
            <w:tcW w:w="748" w:type="dxa"/>
            <w:shd w:val="clear" w:color="auto" w:fill="auto"/>
          </w:tcPr>
          <w:p w14:paraId="22BBC2E7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914" w:type="dxa"/>
            <w:shd w:val="clear" w:color="auto" w:fill="auto"/>
          </w:tcPr>
          <w:p w14:paraId="1830E4F2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26CBE744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2" w:type="dxa"/>
            <w:shd w:val="clear" w:color="auto" w:fill="auto"/>
          </w:tcPr>
          <w:p w14:paraId="7773DCE3" w14:textId="77777777" w:rsidR="002558C1" w:rsidRPr="00F77017" w:rsidRDefault="002558C1" w:rsidP="0025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смертности населения от сердечно-сосудистых заболеваний</w:t>
            </w:r>
          </w:p>
        </w:tc>
        <w:tc>
          <w:tcPr>
            <w:tcW w:w="1240" w:type="dxa"/>
            <w:shd w:val="clear" w:color="auto" w:fill="auto"/>
          </w:tcPr>
          <w:p w14:paraId="32EDF1B8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14:paraId="6D5EE00E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1090" w:type="dxa"/>
            <w:gridSpan w:val="3"/>
            <w:shd w:val="clear" w:color="auto" w:fill="auto"/>
          </w:tcPr>
          <w:p w14:paraId="6BC66C79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63C53AC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60.2.</w:t>
            </w:r>
          </w:p>
        </w:tc>
        <w:tc>
          <w:tcPr>
            <w:tcW w:w="1260" w:type="dxa"/>
            <w:shd w:val="clear" w:color="auto" w:fill="auto"/>
          </w:tcPr>
          <w:p w14:paraId="4362AEBF" w14:textId="77777777" w:rsidR="002558C1" w:rsidRPr="00F77017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52.2.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D6B73E" w14:textId="77777777" w:rsidR="002558C1" w:rsidRPr="002D7B00" w:rsidRDefault="002558C1" w:rsidP="0025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49.2.</w:t>
            </w:r>
          </w:p>
        </w:tc>
      </w:tr>
    </w:tbl>
    <w:p w14:paraId="467635B7" w14:textId="7D56278A" w:rsidR="00083BB3" w:rsidRDefault="00083BB3" w:rsidP="000D0A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083BB3" w:rsidSect="002D7B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60B45" w14:textId="77777777" w:rsidR="005C64E7" w:rsidRDefault="005C64E7" w:rsidP="00C4175A">
      <w:pPr>
        <w:spacing w:after="0" w:line="240" w:lineRule="auto"/>
      </w:pPr>
      <w:r>
        <w:separator/>
      </w:r>
    </w:p>
  </w:endnote>
  <w:endnote w:type="continuationSeparator" w:id="0">
    <w:p w14:paraId="515C67B7" w14:textId="77777777" w:rsidR="005C64E7" w:rsidRDefault="005C64E7" w:rsidP="00C4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002052"/>
      <w:docPartObj>
        <w:docPartGallery w:val="Page Numbers (Bottom of Page)"/>
        <w:docPartUnique/>
      </w:docPartObj>
    </w:sdtPr>
    <w:sdtEndPr/>
    <w:sdtContent>
      <w:p w14:paraId="67E6EF3E" w14:textId="77777777" w:rsidR="00C4175A" w:rsidRDefault="00C417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E7">
          <w:rPr>
            <w:noProof/>
          </w:rPr>
          <w:t>14</w:t>
        </w:r>
        <w:r>
          <w:fldChar w:fldCharType="end"/>
        </w:r>
      </w:p>
    </w:sdtContent>
  </w:sdt>
  <w:p w14:paraId="2174F8F0" w14:textId="77777777" w:rsidR="00C4175A" w:rsidRDefault="00C417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B789" w14:textId="77777777" w:rsidR="005C64E7" w:rsidRDefault="005C64E7" w:rsidP="00C4175A">
      <w:pPr>
        <w:spacing w:after="0" w:line="240" w:lineRule="auto"/>
      </w:pPr>
      <w:r>
        <w:separator/>
      </w:r>
    </w:p>
  </w:footnote>
  <w:footnote w:type="continuationSeparator" w:id="0">
    <w:p w14:paraId="24F79570" w14:textId="77777777" w:rsidR="005C64E7" w:rsidRDefault="005C64E7" w:rsidP="00C4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7C4F"/>
    <w:multiLevelType w:val="multilevel"/>
    <w:tmpl w:val="4F34D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82771"/>
    <w:multiLevelType w:val="multilevel"/>
    <w:tmpl w:val="951CC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D2EDA"/>
    <w:multiLevelType w:val="hybridMultilevel"/>
    <w:tmpl w:val="61708C40"/>
    <w:lvl w:ilvl="0" w:tplc="0ABAEF98">
      <w:start w:val="1"/>
      <w:numFmt w:val="decimal"/>
      <w:lvlText w:val="%1."/>
      <w:lvlJc w:val="left"/>
      <w:pPr>
        <w:ind w:left="11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" w15:restartNumberingAfterBreak="0">
    <w:nsid w:val="32605383"/>
    <w:multiLevelType w:val="hybridMultilevel"/>
    <w:tmpl w:val="5E762762"/>
    <w:lvl w:ilvl="0" w:tplc="DA928D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0EE3545"/>
    <w:multiLevelType w:val="hybridMultilevel"/>
    <w:tmpl w:val="232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99"/>
    <w:rsid w:val="00022D99"/>
    <w:rsid w:val="00071152"/>
    <w:rsid w:val="000820C2"/>
    <w:rsid w:val="00083BB3"/>
    <w:rsid w:val="000A05EE"/>
    <w:rsid w:val="000B2C6E"/>
    <w:rsid w:val="000D0A94"/>
    <w:rsid w:val="000F44D1"/>
    <w:rsid w:val="0015108A"/>
    <w:rsid w:val="001D268C"/>
    <w:rsid w:val="00234D01"/>
    <w:rsid w:val="00247A32"/>
    <w:rsid w:val="002558C1"/>
    <w:rsid w:val="00280B00"/>
    <w:rsid w:val="002A22F2"/>
    <w:rsid w:val="002D398F"/>
    <w:rsid w:val="002D7B00"/>
    <w:rsid w:val="0031268F"/>
    <w:rsid w:val="00323C4C"/>
    <w:rsid w:val="003628C5"/>
    <w:rsid w:val="003A5513"/>
    <w:rsid w:val="003A5D5A"/>
    <w:rsid w:val="003C148D"/>
    <w:rsid w:val="003D3C8C"/>
    <w:rsid w:val="003F29B3"/>
    <w:rsid w:val="004044A4"/>
    <w:rsid w:val="004077E8"/>
    <w:rsid w:val="004145D2"/>
    <w:rsid w:val="00420647"/>
    <w:rsid w:val="00436294"/>
    <w:rsid w:val="004527B5"/>
    <w:rsid w:val="004701CC"/>
    <w:rsid w:val="00491592"/>
    <w:rsid w:val="004949A4"/>
    <w:rsid w:val="004A0D47"/>
    <w:rsid w:val="004C4974"/>
    <w:rsid w:val="00537D52"/>
    <w:rsid w:val="00553CE4"/>
    <w:rsid w:val="00555A22"/>
    <w:rsid w:val="0059347F"/>
    <w:rsid w:val="005C631C"/>
    <w:rsid w:val="005C64E7"/>
    <w:rsid w:val="005C6CBD"/>
    <w:rsid w:val="005E1304"/>
    <w:rsid w:val="005E3344"/>
    <w:rsid w:val="0062502B"/>
    <w:rsid w:val="00652BCB"/>
    <w:rsid w:val="00681493"/>
    <w:rsid w:val="00683D54"/>
    <w:rsid w:val="0068636F"/>
    <w:rsid w:val="00741524"/>
    <w:rsid w:val="00796D0D"/>
    <w:rsid w:val="007A16B4"/>
    <w:rsid w:val="007A469C"/>
    <w:rsid w:val="007B0F4C"/>
    <w:rsid w:val="007C0CE7"/>
    <w:rsid w:val="008240FA"/>
    <w:rsid w:val="00844768"/>
    <w:rsid w:val="008553AC"/>
    <w:rsid w:val="0086619B"/>
    <w:rsid w:val="00897699"/>
    <w:rsid w:val="008B0E9D"/>
    <w:rsid w:val="008D4725"/>
    <w:rsid w:val="008E377E"/>
    <w:rsid w:val="008F395F"/>
    <w:rsid w:val="008F5719"/>
    <w:rsid w:val="008F60F1"/>
    <w:rsid w:val="009051A4"/>
    <w:rsid w:val="00930085"/>
    <w:rsid w:val="00931008"/>
    <w:rsid w:val="0093641F"/>
    <w:rsid w:val="0095209E"/>
    <w:rsid w:val="009B1AFF"/>
    <w:rsid w:val="009C1A57"/>
    <w:rsid w:val="00A94AC3"/>
    <w:rsid w:val="00AC1D30"/>
    <w:rsid w:val="00AF0271"/>
    <w:rsid w:val="00AF5399"/>
    <w:rsid w:val="00B01E0A"/>
    <w:rsid w:val="00B168A0"/>
    <w:rsid w:val="00B90780"/>
    <w:rsid w:val="00B931A6"/>
    <w:rsid w:val="00BB602F"/>
    <w:rsid w:val="00BC4FF7"/>
    <w:rsid w:val="00C11459"/>
    <w:rsid w:val="00C12F71"/>
    <w:rsid w:val="00C1407E"/>
    <w:rsid w:val="00C2329D"/>
    <w:rsid w:val="00C4175A"/>
    <w:rsid w:val="00C54C4E"/>
    <w:rsid w:val="00C612C8"/>
    <w:rsid w:val="00C773D5"/>
    <w:rsid w:val="00C91935"/>
    <w:rsid w:val="00CB370F"/>
    <w:rsid w:val="00CE7078"/>
    <w:rsid w:val="00CE7946"/>
    <w:rsid w:val="00D005D5"/>
    <w:rsid w:val="00D038E0"/>
    <w:rsid w:val="00D13C2B"/>
    <w:rsid w:val="00D250FC"/>
    <w:rsid w:val="00D37850"/>
    <w:rsid w:val="00D461BE"/>
    <w:rsid w:val="00D61871"/>
    <w:rsid w:val="00DE1ADB"/>
    <w:rsid w:val="00E614CE"/>
    <w:rsid w:val="00E753E8"/>
    <w:rsid w:val="00EB38AD"/>
    <w:rsid w:val="00ED3B0E"/>
    <w:rsid w:val="00ED3B35"/>
    <w:rsid w:val="00EE3CF7"/>
    <w:rsid w:val="00F063D2"/>
    <w:rsid w:val="00F149BF"/>
    <w:rsid w:val="00F36D96"/>
    <w:rsid w:val="00F379C7"/>
    <w:rsid w:val="00F41B56"/>
    <w:rsid w:val="00F77017"/>
    <w:rsid w:val="00FD678B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AA575F"/>
  <w15:chartTrackingRefBased/>
  <w15:docId w15:val="{DEA03BCE-EE28-4030-819B-FC2A0467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0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75A"/>
  </w:style>
  <w:style w:type="paragraph" w:styleId="a9">
    <w:name w:val="footer"/>
    <w:basedOn w:val="a"/>
    <w:link w:val="aa"/>
    <w:uiPriority w:val="99"/>
    <w:unhideWhenUsed/>
    <w:rsid w:val="00C4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569B-75D6-4A8D-AA64-AAB1E8D2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63</cp:revision>
  <cp:lastPrinted>2021-10-19T10:20:00Z</cp:lastPrinted>
  <dcterms:created xsi:type="dcterms:W3CDTF">2018-09-06T11:49:00Z</dcterms:created>
  <dcterms:modified xsi:type="dcterms:W3CDTF">2022-04-12T03:56:00Z</dcterms:modified>
</cp:coreProperties>
</file>