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20ADD" w:rsidRPr="00B20ADD" w:rsidTr="00046988">
        <w:tc>
          <w:tcPr>
            <w:tcW w:w="3070" w:type="dxa"/>
          </w:tcPr>
          <w:p w:rsidR="00B20ADD" w:rsidRPr="00B20ADD" w:rsidRDefault="00B20ADD" w:rsidP="00B20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0" w:type="dxa"/>
          </w:tcPr>
          <w:p w:rsidR="00B20ADD" w:rsidRPr="00B20ADD" w:rsidRDefault="00B20ADD" w:rsidP="00B20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B20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in" fillcolor="window">
                  <v:imagedata r:id="rId4" o:title=""/>
                </v:shape>
              </w:object>
            </w:r>
          </w:p>
        </w:tc>
        <w:tc>
          <w:tcPr>
            <w:tcW w:w="3070" w:type="dxa"/>
          </w:tcPr>
          <w:p w:rsidR="00B20ADD" w:rsidRPr="00B20ADD" w:rsidRDefault="00B20ADD" w:rsidP="00B20A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0ADD" w:rsidRPr="00B20ADD" w:rsidRDefault="00B20ADD" w:rsidP="00B2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DD" w:rsidRPr="00B20ADD" w:rsidRDefault="00B20ADD" w:rsidP="00B2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 РЕСПУБЛИКАНЫН</w:t>
      </w:r>
    </w:p>
    <w:p w:rsidR="00B20ADD" w:rsidRPr="00B20ADD" w:rsidRDefault="00B20ADD" w:rsidP="00B2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 КОЖУУН БУРЕН-ХЕМ СУМУ</w:t>
      </w:r>
    </w:p>
    <w:p w:rsidR="00B20ADD" w:rsidRPr="00B20ADD" w:rsidRDefault="00B20ADD" w:rsidP="00B2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ЧАГЫРГАЗЫНЫН</w:t>
      </w:r>
    </w:p>
    <w:p w:rsidR="00B20ADD" w:rsidRPr="00B20ADD" w:rsidRDefault="00B20ADD" w:rsidP="00B2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ДОКТАААЛЫ</w:t>
      </w:r>
    </w:p>
    <w:p w:rsidR="00B20ADD" w:rsidRPr="00B20ADD" w:rsidRDefault="00B20ADD" w:rsidP="00B2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DD" w:rsidRPr="00B20ADD" w:rsidRDefault="00B20ADD" w:rsidP="00B2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20ADD" w:rsidRPr="00B20ADD" w:rsidRDefault="00B20ADD" w:rsidP="00B2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СУМОНА БУРЕН-ХЕМСКИЙ </w:t>
      </w:r>
    </w:p>
    <w:p w:rsidR="00B20ADD" w:rsidRPr="00B20ADD" w:rsidRDefault="00B20ADD" w:rsidP="00B2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 РАЙОНА</w:t>
      </w:r>
    </w:p>
    <w:p w:rsidR="00B20ADD" w:rsidRPr="00B20ADD" w:rsidRDefault="00B20ADD" w:rsidP="00B2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B20ADD" w:rsidRPr="00B20ADD" w:rsidRDefault="00B20ADD" w:rsidP="00B2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DD" w:rsidRPr="00B20ADD" w:rsidRDefault="00B20ADD" w:rsidP="00B20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DD" w:rsidRPr="00B20ADD" w:rsidRDefault="00B20ADD" w:rsidP="00B2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ноября 2020 </w:t>
      </w:r>
      <w:proofErr w:type="gramStart"/>
      <w:r w:rsidRPr="00B20A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B2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</w:p>
    <w:p w:rsidR="00B20ADD" w:rsidRPr="00B20ADD" w:rsidRDefault="00B20ADD" w:rsidP="00B2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Бурен-</w:t>
      </w:r>
      <w:proofErr w:type="spellStart"/>
      <w:r w:rsidRPr="00B20ADD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</w:t>
      </w:r>
      <w:proofErr w:type="spellEnd"/>
    </w:p>
    <w:p w:rsidR="00B20ADD" w:rsidRPr="00B20ADD" w:rsidRDefault="00B20ADD" w:rsidP="00B2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проекте решения Хурала представителей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Бурен-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Хемский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Каа-Хемского района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Бурен-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Хемский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Каа-Хемского района Республики Тыва 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на 2021 год и на плановый период 2022 и 2023 годов»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Бурен-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Хемский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Каа-Хемского района 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1.Одобрить и внести на рассмотрение Хурала представителей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Бурен-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Хемский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Каа-Хемского </w:t>
      </w:r>
      <w:proofErr w:type="spellStart"/>
      <w:proofErr w:type="gram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кожууна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Республики</w:t>
      </w:r>
      <w:proofErr w:type="gram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Тыва прилагаемый проект решения</w:t>
      </w:r>
      <w:r w:rsidRPr="00B20A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Хурала представителей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Бурен-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Хемский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Каа-Хемского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кожууна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 бюджете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Бурен-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Хемский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Каа-Хемского района Республики Тыва на 2021 год и на плановый период 2022 и 2023 годов».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360" w:lineRule="atLeast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Назначить официальным представителем администрации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Бурен-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Хемский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Каа-Хемского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рассмотрении данного проекта решения Хурала представителей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Бурен-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Хемский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Каа-Хемского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кожууна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бухгалтера администрации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Бурен-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Хемский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Каа-Хемского района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Дюлюш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Н.И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Председателя администрации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Бурен-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Хемский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Каа-Хемского района                                                          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Базыр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М.В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3686"/>
        <w:gridCol w:w="2786"/>
      </w:tblGrid>
      <w:tr w:rsidR="00B20ADD" w:rsidRPr="00B20ADD" w:rsidTr="00046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5" w:type="dxa"/>
          </w:tcPr>
          <w:p w:rsidR="00B20ADD" w:rsidRPr="00B20ADD" w:rsidRDefault="00B20ADD" w:rsidP="00B2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</w:t>
            </w:r>
          </w:p>
        </w:tc>
        <w:tc>
          <w:tcPr>
            <w:tcW w:w="3686" w:type="dxa"/>
          </w:tcPr>
          <w:p w:rsidR="00B20ADD" w:rsidRPr="00B20ADD" w:rsidRDefault="00B20ADD" w:rsidP="00B2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6560" w:dyaOrig="15855">
                <v:shape id="_x0000_i1026" type="#_x0000_t75" style="width:75pt;height:1in" fillcolor="window">
                  <v:imagedata r:id="rId4" o:title=""/>
                </v:shape>
              </w:object>
            </w:r>
          </w:p>
        </w:tc>
        <w:tc>
          <w:tcPr>
            <w:tcW w:w="2786" w:type="dxa"/>
          </w:tcPr>
          <w:p w:rsidR="00B20ADD" w:rsidRPr="00B20ADD" w:rsidRDefault="00B20ADD" w:rsidP="00B2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ADD" w:rsidRPr="00B20ADD" w:rsidRDefault="00B20ADD" w:rsidP="00B2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ADD" w:rsidRPr="00B20ADD" w:rsidRDefault="00B20ADD" w:rsidP="00B2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0ADD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B20ADD" w:rsidRPr="00B20ADD" w:rsidRDefault="00B20ADD" w:rsidP="00B2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0ADD" w:rsidRPr="00B20ADD" w:rsidRDefault="00B20ADD" w:rsidP="00B2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0ADD">
        <w:rPr>
          <w:rFonts w:ascii="Times New Roman" w:eastAsia="Times New Roman" w:hAnsi="Times New Roman" w:cs="Times New Roman"/>
          <w:b/>
          <w:lang w:eastAsia="ru-RU"/>
        </w:rPr>
        <w:t>ХУРАЛА ПРЕДСТАВИТЕЛЕЙ СУМОНА БУРЕН-ХЕМСКИЙ</w:t>
      </w:r>
    </w:p>
    <w:p w:rsidR="00B20ADD" w:rsidRPr="00B20ADD" w:rsidRDefault="00B20ADD" w:rsidP="00B2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КАА-ХЕМСКОГО КОЖУУНА РЕСПУБЛИКИ ТЫВА</w:t>
      </w:r>
    </w:p>
    <w:p w:rsidR="00B20ADD" w:rsidRPr="00B20ADD" w:rsidRDefault="00B20ADD" w:rsidP="00B2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ADD" w:rsidRPr="00B20ADD" w:rsidRDefault="00B20ADD" w:rsidP="00B2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B20A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от 12 декабря 2020 года   № 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7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b/>
          <w:bCs/>
          <w:sz w:val="34"/>
          <w:szCs w:val="34"/>
          <w:lang w:eastAsia="ru-RU"/>
        </w:rPr>
        <w:t>РЕШЕНИЕ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B20ADD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О бюджете </w:t>
      </w:r>
      <w:proofErr w:type="spellStart"/>
      <w:r w:rsidRPr="00B20ADD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Бурен-</w:t>
      </w:r>
      <w:proofErr w:type="spellStart"/>
      <w:r w:rsidRPr="00B20ADD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Хемский</w:t>
      </w:r>
      <w:proofErr w:type="spellEnd"/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B20ADD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Каа-Хемского района Республики Тыва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B20ADD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на 2021 год и на плановый период 2022 и 2023 годов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Бурен-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Хемский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Каа-Хемского района Республики Тыва» (</w:t>
      </w:r>
      <w:proofErr w:type="gram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далее </w:t>
      </w: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</w:t>
      </w:r>
      <w:proofErr w:type="gram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) на 2021 год: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объем доходов бюджета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2962,5 тыс. рублей;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2962,5 тыс. рублей;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дефицит бюджета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0,0 тыс. рублей.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ADD">
        <w:rPr>
          <w:rFonts w:ascii="Times New Roman" w:eastAsia="Times New Roman" w:hAnsi="Times New Roman" w:cs="Times New Roman"/>
          <w:sz w:val="28"/>
          <w:szCs w:val="28"/>
        </w:rPr>
        <w:t xml:space="preserve">2. Установить основные характеристики бюджета </w:t>
      </w:r>
      <w:proofErr w:type="spellStart"/>
      <w:r w:rsidRPr="00B20ADD">
        <w:rPr>
          <w:rFonts w:ascii="Times New Roman" w:eastAsia="Times New Roman" w:hAnsi="Times New Roman" w:cs="Times New Roman"/>
          <w:sz w:val="28"/>
          <w:szCs w:val="28"/>
        </w:rPr>
        <w:t>сумона</w:t>
      </w:r>
      <w:proofErr w:type="spellEnd"/>
      <w:r w:rsidRPr="00B20ADD">
        <w:rPr>
          <w:rFonts w:ascii="Times New Roman" w:eastAsia="Times New Roman" w:hAnsi="Times New Roman" w:cs="Times New Roman"/>
          <w:sz w:val="28"/>
          <w:szCs w:val="28"/>
        </w:rPr>
        <w:t xml:space="preserve"> на 2022 и на 2023 годы: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ADD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proofErr w:type="spellStart"/>
      <w:r w:rsidRPr="00B20ADD">
        <w:rPr>
          <w:rFonts w:ascii="Times New Roman" w:eastAsia="Times New Roman" w:hAnsi="Times New Roman" w:cs="Times New Roman"/>
          <w:sz w:val="28"/>
          <w:szCs w:val="28"/>
        </w:rPr>
        <w:t>сумона</w:t>
      </w:r>
      <w:proofErr w:type="spellEnd"/>
      <w:r w:rsidRPr="00B20ADD">
        <w:rPr>
          <w:rFonts w:ascii="Times New Roman" w:eastAsia="Times New Roman" w:hAnsi="Times New Roman" w:cs="Times New Roman"/>
          <w:sz w:val="28"/>
          <w:szCs w:val="28"/>
        </w:rPr>
        <w:t xml:space="preserve"> на 2022 год - в сумме 3068,6 </w:t>
      </w:r>
      <w:proofErr w:type="spellStart"/>
      <w:r w:rsidRPr="00B20ADD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B20ADD">
        <w:rPr>
          <w:rFonts w:ascii="Times New Roman" w:eastAsia="Times New Roman" w:hAnsi="Times New Roman" w:cs="Times New Roman"/>
          <w:sz w:val="28"/>
          <w:szCs w:val="28"/>
        </w:rPr>
        <w:t xml:space="preserve">, на 2023 год – в сумме 3225,5 </w:t>
      </w:r>
      <w:proofErr w:type="spellStart"/>
      <w:r w:rsidRPr="00B20ADD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B20A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ADD">
        <w:rPr>
          <w:rFonts w:ascii="Times New Roman" w:eastAsia="Times New Roman" w:hAnsi="Times New Roman" w:cs="Times New Roman"/>
          <w:sz w:val="28"/>
          <w:szCs w:val="28"/>
        </w:rPr>
        <w:t xml:space="preserve">2) прогнозируемый общий объем расходов бюджета </w:t>
      </w:r>
      <w:proofErr w:type="spellStart"/>
      <w:r w:rsidRPr="00B20ADD">
        <w:rPr>
          <w:rFonts w:ascii="Times New Roman" w:eastAsia="Times New Roman" w:hAnsi="Times New Roman" w:cs="Times New Roman"/>
          <w:sz w:val="28"/>
          <w:szCs w:val="28"/>
        </w:rPr>
        <w:t>сумона</w:t>
      </w:r>
      <w:proofErr w:type="spellEnd"/>
      <w:r w:rsidRPr="00B20ADD">
        <w:rPr>
          <w:rFonts w:ascii="Times New Roman" w:eastAsia="Times New Roman" w:hAnsi="Times New Roman" w:cs="Times New Roman"/>
          <w:sz w:val="28"/>
          <w:szCs w:val="28"/>
        </w:rPr>
        <w:t xml:space="preserve"> на 2022 год - в сумме 3068,6 </w:t>
      </w:r>
      <w:proofErr w:type="spellStart"/>
      <w:r w:rsidRPr="00B20ADD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B20ADD">
        <w:rPr>
          <w:rFonts w:ascii="Times New Roman" w:eastAsia="Times New Roman" w:hAnsi="Times New Roman" w:cs="Times New Roman"/>
          <w:sz w:val="28"/>
          <w:szCs w:val="28"/>
        </w:rPr>
        <w:t>, на 2023 год – в сумме 3225,</w:t>
      </w:r>
      <w:proofErr w:type="gramStart"/>
      <w:r w:rsidRPr="00B20ADD">
        <w:rPr>
          <w:rFonts w:ascii="Times New Roman" w:eastAsia="Times New Roman" w:hAnsi="Times New Roman" w:cs="Times New Roman"/>
          <w:sz w:val="28"/>
          <w:szCs w:val="28"/>
        </w:rPr>
        <w:t xml:space="preserve">5  </w:t>
      </w:r>
      <w:proofErr w:type="spellStart"/>
      <w:r w:rsidRPr="00B20ADD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B20A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ADD">
        <w:rPr>
          <w:rFonts w:ascii="Times New Roman" w:eastAsia="Times New Roman" w:hAnsi="Times New Roman" w:cs="Times New Roman"/>
          <w:sz w:val="28"/>
          <w:szCs w:val="28"/>
        </w:rPr>
        <w:t xml:space="preserve">3) дефицит бюджета </w:t>
      </w:r>
      <w:proofErr w:type="spellStart"/>
      <w:r w:rsidRPr="00B20ADD">
        <w:rPr>
          <w:rFonts w:ascii="Times New Roman" w:eastAsia="Times New Roman" w:hAnsi="Times New Roman" w:cs="Times New Roman"/>
          <w:sz w:val="28"/>
          <w:szCs w:val="28"/>
        </w:rPr>
        <w:t>сумона</w:t>
      </w:r>
      <w:proofErr w:type="spellEnd"/>
      <w:r w:rsidRPr="00B20ADD">
        <w:rPr>
          <w:rFonts w:ascii="Times New Roman" w:eastAsia="Times New Roman" w:hAnsi="Times New Roman" w:cs="Times New Roman"/>
          <w:sz w:val="28"/>
          <w:szCs w:val="28"/>
        </w:rPr>
        <w:t xml:space="preserve"> на 2021 год в сумме 0,0 </w:t>
      </w:r>
      <w:proofErr w:type="spellStart"/>
      <w:r w:rsidRPr="00B20ADD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B20ADD">
        <w:rPr>
          <w:rFonts w:ascii="Times New Roman" w:eastAsia="Times New Roman" w:hAnsi="Times New Roman" w:cs="Times New Roman"/>
          <w:sz w:val="28"/>
          <w:szCs w:val="28"/>
        </w:rPr>
        <w:t xml:space="preserve">, 2022 год 0,0 </w:t>
      </w:r>
      <w:proofErr w:type="spellStart"/>
      <w:r w:rsidRPr="00B20ADD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ADD">
        <w:rPr>
          <w:rFonts w:ascii="Times New Roman" w:eastAsia="Times New Roman" w:hAnsi="Times New Roman" w:cs="Times New Roman"/>
          <w:sz w:val="28"/>
          <w:szCs w:val="28"/>
        </w:rPr>
        <w:t>3. Утвердить: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ADD">
        <w:rPr>
          <w:rFonts w:ascii="Times New Roman" w:eastAsia="Times New Roman" w:hAnsi="Times New Roman" w:cs="Times New Roman"/>
          <w:sz w:val="28"/>
          <w:szCs w:val="28"/>
        </w:rPr>
        <w:t xml:space="preserve">1) верхний предел муниципального внутреннего долга </w:t>
      </w:r>
      <w:proofErr w:type="spellStart"/>
      <w:r w:rsidRPr="00B20ADD">
        <w:rPr>
          <w:rFonts w:ascii="Times New Roman" w:eastAsia="Times New Roman" w:hAnsi="Times New Roman" w:cs="Times New Roman"/>
          <w:sz w:val="28"/>
          <w:szCs w:val="28"/>
        </w:rPr>
        <w:t>сумона</w:t>
      </w:r>
      <w:proofErr w:type="spellEnd"/>
      <w:r w:rsidRPr="00B20ADD">
        <w:rPr>
          <w:rFonts w:ascii="Times New Roman" w:eastAsia="Times New Roman" w:hAnsi="Times New Roman" w:cs="Times New Roman"/>
          <w:sz w:val="28"/>
          <w:szCs w:val="28"/>
        </w:rPr>
        <w:t xml:space="preserve"> на 1 января 2021 года в сумме 0,0 тыс. рублей, в том числе верхний предел долга по муниципальным гарантиям </w:t>
      </w:r>
      <w:proofErr w:type="spellStart"/>
      <w:r w:rsidRPr="00B20ADD">
        <w:rPr>
          <w:rFonts w:ascii="Times New Roman" w:eastAsia="Times New Roman" w:hAnsi="Times New Roman" w:cs="Times New Roman"/>
          <w:sz w:val="28"/>
          <w:szCs w:val="28"/>
        </w:rPr>
        <w:t>сумона</w:t>
      </w:r>
      <w:proofErr w:type="spellEnd"/>
      <w:r w:rsidRPr="00B20ADD">
        <w:rPr>
          <w:rFonts w:ascii="Times New Roman" w:eastAsia="Times New Roman" w:hAnsi="Times New Roman" w:cs="Times New Roman"/>
          <w:sz w:val="28"/>
          <w:szCs w:val="28"/>
        </w:rPr>
        <w:t xml:space="preserve"> в сумме 0,0 </w:t>
      </w:r>
      <w:proofErr w:type="spellStart"/>
      <w:r w:rsidRPr="00B20ADD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B20A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ADD">
        <w:rPr>
          <w:rFonts w:ascii="Times New Roman" w:eastAsia="Times New Roman" w:hAnsi="Times New Roman" w:cs="Times New Roman"/>
          <w:sz w:val="28"/>
          <w:szCs w:val="28"/>
        </w:rPr>
        <w:t xml:space="preserve">    4. Установить: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ADD">
        <w:rPr>
          <w:rFonts w:ascii="Times New Roman" w:eastAsia="Times New Roman" w:hAnsi="Times New Roman" w:cs="Times New Roman"/>
          <w:sz w:val="28"/>
          <w:szCs w:val="28"/>
        </w:rPr>
        <w:t xml:space="preserve">2) верхний предел муниципального внутреннего долга </w:t>
      </w:r>
      <w:proofErr w:type="spellStart"/>
      <w:r w:rsidRPr="00B20ADD">
        <w:rPr>
          <w:rFonts w:ascii="Times New Roman" w:eastAsia="Times New Roman" w:hAnsi="Times New Roman" w:cs="Times New Roman"/>
          <w:sz w:val="28"/>
          <w:szCs w:val="28"/>
        </w:rPr>
        <w:t>сумона</w:t>
      </w:r>
      <w:proofErr w:type="spellEnd"/>
      <w:r w:rsidRPr="00B20ADD">
        <w:rPr>
          <w:rFonts w:ascii="Times New Roman" w:eastAsia="Times New Roman" w:hAnsi="Times New Roman" w:cs="Times New Roman"/>
          <w:sz w:val="28"/>
          <w:szCs w:val="28"/>
        </w:rPr>
        <w:t xml:space="preserve"> на 1 января 2022 года в сумме 0,0 тыс. рублей на 1 января 2023 года в сумме 0,0 тыс. рублей, в том числе верхний предел долга по муниципальным гарантиям </w:t>
      </w:r>
      <w:proofErr w:type="spellStart"/>
      <w:r w:rsidRPr="00B20ADD">
        <w:rPr>
          <w:rFonts w:ascii="Times New Roman" w:eastAsia="Times New Roman" w:hAnsi="Times New Roman" w:cs="Times New Roman"/>
          <w:sz w:val="28"/>
          <w:szCs w:val="28"/>
        </w:rPr>
        <w:t>сумона</w:t>
      </w:r>
      <w:proofErr w:type="spellEnd"/>
      <w:r w:rsidRPr="00B20ADD">
        <w:rPr>
          <w:rFonts w:ascii="Times New Roman" w:eastAsia="Times New Roman" w:hAnsi="Times New Roman" w:cs="Times New Roman"/>
          <w:sz w:val="28"/>
          <w:szCs w:val="28"/>
        </w:rPr>
        <w:t xml:space="preserve"> на 2022 год в сумме 0,0 </w:t>
      </w:r>
      <w:proofErr w:type="spellStart"/>
      <w:r w:rsidRPr="00B20ADD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B20ADD">
        <w:rPr>
          <w:rFonts w:ascii="Times New Roman" w:eastAsia="Times New Roman" w:hAnsi="Times New Roman" w:cs="Times New Roman"/>
          <w:sz w:val="28"/>
          <w:szCs w:val="28"/>
        </w:rPr>
        <w:t xml:space="preserve">, на 2023 год в сумме 0,0 </w:t>
      </w:r>
      <w:proofErr w:type="spellStart"/>
      <w:r w:rsidRPr="00B20ADD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B20A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Утвердить источники внутреннего финансирования дефицита бюджета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: - на 2021 год согласно приложению 1 к настоящему Решению.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Par15"/>
      <w:bookmarkStart w:id="1" w:name="Par0"/>
      <w:bookmarkStart w:id="2" w:name="Par29"/>
      <w:bookmarkEnd w:id="0"/>
      <w:bookmarkEnd w:id="1"/>
      <w:bookmarkEnd w:id="2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- на 2022 и 2023 годы согласно приложению 2 к настоящему Решению.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1.Утвердить нормативы распределения доходов в бюджет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3 к настоящему Решению.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Установить, что в составе бюджета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учитываются поступления доходов, в том числе безвозмездные поступления, получаемые из муниципального бюджета на 2020 год, согласно приложению 4 к настоящему Решению.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в составе бюджета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учитываются поступления доходов, в том числе безвозмездные поступления, получаемые из муниципального бюджета на 2021 и 2022 годы, согласно приложению 5 к настоящему Решению.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3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перечень главных администраторов доходов бюджета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6 к настоящему Решению.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перечень главных администраторов источников внутреннего финансирования дефицита бюджета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7 к настоящему Решению.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В случае изменения в 2021 году состава и (или) функций главных администраторов доходов бюджета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главных администраторов источников финансирования дефицита бюджета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изменения принципов назначения и присвоения структуры кодов классификации доходов бюджета и классификации источников финансирования дефицита бюджета изменения в перечень главных администраторов доходов бюджета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перечень главных администраторов источников финансирования дефицита бюджета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в состав закрепленных за ними кодов классификации доходов бюджета или классификации источников финансирования дефицита бюджета вносятся на основании нормативного правового акта администрации 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 внесения изменений в настоящее Решение.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4</w:t>
      </w:r>
    </w:p>
    <w:p w:rsidR="00B20ADD" w:rsidRPr="00B20ADD" w:rsidRDefault="00B20ADD" w:rsidP="00B20ADD">
      <w:pPr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1.Средства в валюте Российской Федерации, полученные муниципальными казенными учреждениями от приносящей </w:t>
      </w:r>
      <w:proofErr w:type="gram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доход  деятельности</w:t>
      </w:r>
      <w:proofErr w:type="gram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подлежат перечислению в доход бюджета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2.Средства, полученные муниципальными бюджетными, казенными учреждениями от приносящей доход деятельности, не могут направляться ими на создание других организаций, покупку ценных бумаг и размещаться на депозиты в кредитных организациях.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Остатки средств на счетах территориальных органов Федерального казначейства, на которых отражаются операции со средствами, поступающими во временное распоряжение муниципальных казенных учреждений, перечисляются территориальными органами Федерального казначейства в 2021 году в бюджет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их возвратом не позднее последнего рабочего дня текущего финансового года на счета, с которых они были ранее перечислены в порядке, установленном администрацией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Статья 5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1.Утвердить в пределах общего объема расходов бюджета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установленного </w:t>
      </w:r>
      <w:hyperlink r:id="rId5" w:history="1">
        <w:r w:rsidRPr="00B20AD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1</w:t>
        </w:r>
      </w:hyperlink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Решения, распределение бюджетных ассигнований по разделам и подразделам, целевым статьям (муниципальным программам и не программным направлениям деятельности) и группам видов расходов классификации расходов бюджета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20ADD" w:rsidRPr="00B20ADD" w:rsidRDefault="00B20ADD" w:rsidP="00B20ADD">
      <w:pPr>
        <w:tabs>
          <w:tab w:val="left" w:pos="9030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1) на 2021 год согласно приложению 8 к настоящему Решению;</w:t>
      </w: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2) на 2022 и 2023 годы согласно приложению 9 к настоящему Решению.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ведомственную структуру расходов бюджета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 2021 год согласно </w:t>
      </w:r>
      <w:hyperlink r:id="rId6" w:history="1">
        <w:r w:rsidRPr="00B20AD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10 к настоящему Решению;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 2022 и 2023 годы согласно </w:t>
      </w:r>
      <w:hyperlink r:id="rId7" w:history="1">
        <w:r w:rsidRPr="00B20AD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11 к настоящему Решению.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Утвердить распределение бюджетных ассигнований на реализацию муниципальных программам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 2021 год согласно </w:t>
      </w:r>
      <w:hyperlink r:id="rId8" w:history="1">
        <w:r w:rsidRPr="00B20AD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12 к настоящему Решению;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 2022 и 2023 годы согласно </w:t>
      </w:r>
      <w:hyperlink r:id="rId9" w:history="1">
        <w:r w:rsidRPr="00B20AD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13 к настоящему Решению.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3" w:name="Par62"/>
      <w:bookmarkEnd w:id="3"/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6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proofErr w:type="gram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не</w:t>
      </w:r>
      <w:proofErr w:type="gram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вправе принимать решения, приводящие к увеличению численности муниципальных служащих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работников муниципальных бюджетных, казенных учреждений.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7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Установить, что бюджетные кредиты бюджетам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сумонов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предоставляются из бюджета района в пределах общего объема бюджетных ассигнований, предусмотренных по источникам финансирования дефицита бюджета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эти цели, для покрытия временных кассовых разрывов, возникающих при исполнении местных бюджетов, и покрытия дефицитов местного бюджетов.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Установить, что обязательными условиями предоставления бюджетного кредита, включаемыми в договор (соглашение) о его предоставлении, являются согласие получателя бюджетного кредита на осуществление Администрацией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соблюдения получателем бюджетного кредита условий, целей и порядка их предоставления,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3. Установить плату за пользование бюджетным кредитом на покрытие временных кассовых разрывов, возникающих при исполнении бюджетов, а также частичное покрытие дефицитов местных бюджетов в размере 0,1 процента годовых.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Предоставление, использование и возврат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сумоном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бюджетных кредитов, полученных из бюджета района, осуществляются в соответствии с Программой предоставления (использования, возврата) из бюджета района бюджетам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сумонов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бюджетных кредитов.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При нарушении сроков возврата бюджетных кредитов и процентов по ним возникшая задолженность взыскивается в порядке, установленном </w:t>
      </w:r>
      <w:hyperlink w:anchor="Par102" w:history="1">
        <w:r w:rsidRPr="00B20AD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8</w:t>
        </w:r>
      </w:hyperlink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4" w:name="Par102"/>
      <w:bookmarkEnd w:id="4"/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Статья 8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Установить, что при нарушении сроков возврата и (или) использовании не по целевому назначению средств бюджета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предоставленных на возвратной основе бюджетам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сумонов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суммы средств, подлежащие перечислению в бюджет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включая проценты, штрафы и пени,  взыскиваются путем обращения взыскания за счет дотаций бюджетам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сумонов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бюджета района, а также за счет отчислений от </w:t>
      </w:r>
      <w:hyperlink r:id="rId10" w:history="1">
        <w:r w:rsidRPr="00B20AD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федеральных</w:t>
        </w:r>
      </w:hyperlink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B20AD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региональных</w:t>
        </w:r>
      </w:hyperlink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налогов и сборов, налогов, предусмотренных </w:t>
      </w:r>
      <w:hyperlink r:id="rId12" w:history="1">
        <w:r w:rsidRPr="00B20AD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специальными налоговыми режимами</w:t>
        </w:r>
      </w:hyperlink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подлежащих зачислению в бюджет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Установить, что при использовании не по целевому назначению средств бюджета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предоставленных на безвозвратной основе бюджетам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сумонов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суммы средств, использованные не по целевому назначению, взыскиваются в соответствии с бюджетным </w:t>
      </w:r>
      <w:hyperlink r:id="rId13" w:history="1">
        <w:r w:rsidRPr="00B20AD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и нормативными правовыми актами Республики Тыва, муниципального образования.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9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Утвердить </w:t>
      </w:r>
      <w:hyperlink r:id="rId14" w:history="1">
        <w:r w:rsidRPr="00B20AD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Программу</w:t>
        </w:r>
      </w:hyperlink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внутренних заимствований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14</w:t>
      </w:r>
      <w:r w:rsidRPr="00B20AD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Решению.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10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вправе в случае отклонения поступлений совокупных доходов в бюджет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против сумм, установленных </w:t>
      </w:r>
      <w:hyperlink r:id="rId15" w:history="1">
        <w:r w:rsidRPr="00B20AD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</w:t>
        </w:r>
      </w:hyperlink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16" w:history="1">
        <w:r w:rsidRPr="00B20AD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</w:t>
        </w:r>
      </w:hyperlink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решения, привлекать кредиты кредитных организаций и бюджетные кредиты для покрытия временных кассовых разрывов, возникающих при исполнении муниципального бюджета, в порядке, предусмотренном бюджетным </w:t>
      </w:r>
      <w:hyperlink r:id="rId17" w:history="1">
        <w:r w:rsidRPr="00B20AD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11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вправе осуществлять муниципальные внутренние заимствования в объеме, установленном программой муниципальных внутренних заимствований, если иное не предусмотрено законодательством Российской Федерации.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12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Установить, что в 2021 году главные распорядители средств бюджета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вправе передать Управлению Федерального казначейства по Республике Тыва полномочия получателя средств местного бюджета по перечислению межбюджетных трансфертов, предоставляемых из бюджета района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сумонов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бюджета района, источником финансового обеспечения которых являются данные межбюджетные трансферты, в порядке, устанавливаемом Финансовым управлением администрации Каа-Хемского района.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Перечень межбюджетных трансфертов из бюджета района бюджету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форме субсидий, субвенций и иных межбюджетных трансфертов, имеющих целевое назначение, перечисление которых в 2021 году осуществляется в пределах суммы, необходимой для оплаты денежных обязательств по расходам получателей средств бюджета района, источником финансового обеспечения которых являются данные межбюджетные трансферты, утверждается Администрацией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13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Межбюджетные трансферты, полученные бюджетами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сумонов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бюджета района в форме субсидий и иных межбюджетных трансфертов, имеющие целевое назначение, не использованные в текущем финансовом </w:t>
      </w:r>
      <w:proofErr w:type="gram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году,  подлежат</w:t>
      </w:r>
      <w:proofErr w:type="gram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возврату в доход бюджета  района. 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2. 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 района,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В случае, если неиспользованный остаток межбюджетных трансфертов, полученных в форме субсидий, и иных межбюджетных трансфертов, имеющих целевое назначение, не перечислен в доход бюджета района, указанные средства подлежат взысканию в доход бюджет района в порядке, определяемом Финансовым управлением администрации района с соблюдением </w:t>
      </w:r>
      <w:hyperlink r:id="rId18" w:history="1">
        <w:r w:rsidRPr="00B20AD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общих требований</w:t>
        </w:r>
      </w:hyperlink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, установленных Министерством финансов Республики Тыва.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14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о бюджете вступает в силу с 1 января и действует по 31 декабря финансового года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15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о бюджете разместить на официальном сайте администрации Каа-Хемского района в информационно-телекоммуникационной сети Интернет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Глава-председатель 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Хурала Представителей </w:t>
      </w:r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сумона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Бурен-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Хемский</w:t>
      </w:r>
      <w:proofErr w:type="spellEnd"/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Каа-Хемского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кожууна</w:t>
      </w:r>
      <w:proofErr w:type="spellEnd"/>
    </w:p>
    <w:p w:rsidR="00B20ADD" w:rsidRPr="00B20ADD" w:rsidRDefault="00B20ADD" w:rsidP="00B2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Тыва                                                                  </w:t>
      </w:r>
      <w:proofErr w:type="spellStart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>Куулар</w:t>
      </w:r>
      <w:proofErr w:type="spellEnd"/>
      <w:r w:rsidRPr="00B20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А.А</w:t>
      </w:r>
    </w:p>
    <w:p w:rsidR="009E25E9" w:rsidRDefault="009E25E9">
      <w:bookmarkStart w:id="5" w:name="_GoBack"/>
      <w:bookmarkEnd w:id="5"/>
    </w:p>
    <w:sectPr w:rsidR="009E25E9" w:rsidSect="00220D68">
      <w:headerReference w:type="even" r:id="rId19"/>
      <w:headerReference w:type="default" r:id="rId20"/>
      <w:pgSz w:w="11905" w:h="16838" w:code="9"/>
      <w:pgMar w:top="1134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8C" w:rsidRDefault="00B20ADD" w:rsidP="00A37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E8C" w:rsidRDefault="00B20ADD" w:rsidP="00A377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8C" w:rsidRDefault="00B20ADD" w:rsidP="00220D6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2C"/>
    <w:rsid w:val="002B512C"/>
    <w:rsid w:val="009E25E9"/>
    <w:rsid w:val="00B2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3705-7AB0-4AC7-ABDC-C7E9C0B7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0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0AD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34;n=13238;fld=134;dst=100151" TargetMode="External"/><Relationship Id="rId13" Type="http://schemas.openxmlformats.org/officeDocument/2006/relationships/hyperlink" Target="consultantplus://offline/main?base=LAW;n=112715;fld=134;dst=101992" TargetMode="External"/><Relationship Id="rId18" Type="http://schemas.openxmlformats.org/officeDocument/2006/relationships/hyperlink" Target="consultantplus://offline/main?base=LAW;n=90098;fld=134;dst=10001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RLAW434;n=13238;fld=134;dst=100157" TargetMode="External"/><Relationship Id="rId12" Type="http://schemas.openxmlformats.org/officeDocument/2006/relationships/hyperlink" Target="consultantplus://offline/main?base=LAW;n=117058;fld=134;dst=82" TargetMode="External"/><Relationship Id="rId17" Type="http://schemas.openxmlformats.org/officeDocument/2006/relationships/hyperlink" Target="consultantplus://offline/main?base=LAW;n=112715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434;n=13238;fld=134;dst=100020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34;n=13238;fld=134;dst=100157" TargetMode="External"/><Relationship Id="rId11" Type="http://schemas.openxmlformats.org/officeDocument/2006/relationships/hyperlink" Target="consultantplus://offline/main?base=LAW;n=117058;fld=134;dst=73" TargetMode="External"/><Relationship Id="rId5" Type="http://schemas.openxmlformats.org/officeDocument/2006/relationships/hyperlink" Target="consultantplus://offline/main?base=RLAW434;n=13238;fld=134;dst=100007" TargetMode="External"/><Relationship Id="rId15" Type="http://schemas.openxmlformats.org/officeDocument/2006/relationships/hyperlink" Target="consultantplus://offline/main?base=RLAW434;n=13238;fld=134;dst=100007" TargetMode="External"/><Relationship Id="rId10" Type="http://schemas.openxmlformats.org/officeDocument/2006/relationships/hyperlink" Target="consultantplus://offline/main?base=LAW;n=117058;fld=134;dst=61" TargetMode="External"/><Relationship Id="rId19" Type="http://schemas.openxmlformats.org/officeDocument/2006/relationships/header" Target="header1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main?base=RLAW434;n=13238;fld=134;dst=100151" TargetMode="External"/><Relationship Id="rId14" Type="http://schemas.openxmlformats.org/officeDocument/2006/relationships/hyperlink" Target="consultantplus://offline/ref=55C6FD0B49D0F91BFB195D47EEC717AA39F9F9CF233F7588A982CBDCD91FB3B52A7264D582476FD677379EH1P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2039</Words>
  <Characters>11627</Characters>
  <Application>Microsoft Office Word</Application>
  <DocSecurity>0</DocSecurity>
  <Lines>96</Lines>
  <Paragraphs>27</Paragraphs>
  <ScaleCrop>false</ScaleCrop>
  <Company/>
  <LinksUpToDate>false</LinksUpToDate>
  <CharactersWithSpaces>13639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2020-11-19T03:29:00Z</dcterms:created>
  <dcterms:modified xsi:type="dcterms:W3CDTF">2020-11-19T03:29:00Z</dcterms:modified>
</cp:coreProperties>
</file>